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94908" w14:textId="77777777" w:rsidR="00EB6782" w:rsidRPr="00423751" w:rsidRDefault="00F133FC" w:rsidP="00EB6782">
      <w:pPr>
        <w:jc w:val="center"/>
        <w:rPr>
          <w:rFonts w:ascii="Arial" w:hAnsi="Arial" w:cs="Arial"/>
          <w:b/>
          <w:sz w:val="20"/>
          <w:szCs w:val="20"/>
        </w:rPr>
      </w:pPr>
      <w:r w:rsidRPr="00423751">
        <w:rPr>
          <w:rFonts w:ascii="Arial" w:hAnsi="Arial" w:cs="Arial"/>
          <w:b/>
          <w:sz w:val="20"/>
          <w:szCs w:val="20"/>
        </w:rPr>
        <w:t>Donegal Investment Group</w:t>
      </w:r>
      <w:r w:rsidR="00EB6782" w:rsidRPr="00423751">
        <w:rPr>
          <w:rFonts w:ascii="Arial" w:hAnsi="Arial" w:cs="Arial"/>
          <w:b/>
          <w:sz w:val="20"/>
          <w:szCs w:val="20"/>
        </w:rPr>
        <w:t xml:space="preserve"> plc</w:t>
      </w:r>
    </w:p>
    <w:p w14:paraId="7023A586" w14:textId="77777777" w:rsidR="00EB6782" w:rsidRPr="00423751" w:rsidRDefault="00F30F4E" w:rsidP="00EB6782">
      <w:pPr>
        <w:jc w:val="center"/>
        <w:rPr>
          <w:rFonts w:ascii="Arial" w:hAnsi="Arial" w:cs="Arial"/>
          <w:b/>
          <w:sz w:val="20"/>
          <w:szCs w:val="20"/>
        </w:rPr>
      </w:pPr>
      <w:r w:rsidRPr="00423751">
        <w:rPr>
          <w:rFonts w:ascii="Arial" w:hAnsi="Arial" w:cs="Arial"/>
          <w:b/>
          <w:sz w:val="20"/>
          <w:szCs w:val="20"/>
        </w:rPr>
        <w:t>(“</w:t>
      </w:r>
      <w:r w:rsidR="00F133FC" w:rsidRPr="00423751">
        <w:rPr>
          <w:rFonts w:ascii="Arial" w:hAnsi="Arial" w:cs="Arial"/>
          <w:b/>
          <w:sz w:val="20"/>
          <w:szCs w:val="20"/>
        </w:rPr>
        <w:t>Donegal</w:t>
      </w:r>
      <w:r w:rsidRPr="00423751">
        <w:rPr>
          <w:rFonts w:ascii="Arial" w:hAnsi="Arial" w:cs="Arial"/>
          <w:b/>
          <w:sz w:val="20"/>
          <w:szCs w:val="20"/>
        </w:rPr>
        <w:t>” or</w:t>
      </w:r>
      <w:r w:rsidR="00EB6782" w:rsidRPr="00423751">
        <w:rPr>
          <w:rFonts w:ascii="Arial" w:hAnsi="Arial" w:cs="Arial"/>
          <w:b/>
          <w:sz w:val="20"/>
          <w:szCs w:val="20"/>
        </w:rPr>
        <w:t xml:space="preserve"> the “Company”)</w:t>
      </w:r>
    </w:p>
    <w:p w14:paraId="2291FBEB" w14:textId="77777777" w:rsidR="00EB6782" w:rsidRDefault="00EB6782" w:rsidP="00EB6782">
      <w:pPr>
        <w:jc w:val="center"/>
        <w:rPr>
          <w:rFonts w:ascii="Arial" w:hAnsi="Arial" w:cs="Arial"/>
          <w:b/>
          <w:sz w:val="20"/>
          <w:szCs w:val="20"/>
        </w:rPr>
      </w:pPr>
    </w:p>
    <w:p w14:paraId="557A321F" w14:textId="77777777" w:rsidR="00DB169A" w:rsidRDefault="00DB169A" w:rsidP="00EB6782">
      <w:pPr>
        <w:jc w:val="center"/>
        <w:rPr>
          <w:rFonts w:ascii="Arial" w:hAnsi="Arial" w:cs="Arial"/>
          <w:b/>
          <w:sz w:val="20"/>
          <w:szCs w:val="20"/>
        </w:rPr>
      </w:pPr>
      <w:r>
        <w:rPr>
          <w:rFonts w:ascii="Arial" w:hAnsi="Arial" w:cs="Arial"/>
          <w:b/>
          <w:sz w:val="20"/>
          <w:szCs w:val="20"/>
        </w:rPr>
        <w:t>1</w:t>
      </w:r>
      <w:r w:rsidR="006A37AC">
        <w:rPr>
          <w:rFonts w:ascii="Arial" w:hAnsi="Arial" w:cs="Arial"/>
          <w:b/>
          <w:sz w:val="20"/>
          <w:szCs w:val="20"/>
        </w:rPr>
        <w:t>8</w:t>
      </w:r>
      <w:r>
        <w:rPr>
          <w:rFonts w:ascii="Arial" w:hAnsi="Arial" w:cs="Arial"/>
          <w:b/>
          <w:sz w:val="20"/>
          <w:szCs w:val="20"/>
        </w:rPr>
        <w:t xml:space="preserve"> May 2018</w:t>
      </w:r>
    </w:p>
    <w:p w14:paraId="4BE1C19A" w14:textId="77777777" w:rsidR="00DB169A" w:rsidRPr="00423751" w:rsidRDefault="00DB169A" w:rsidP="00EB6782">
      <w:pPr>
        <w:jc w:val="center"/>
        <w:rPr>
          <w:rFonts w:ascii="Arial" w:hAnsi="Arial" w:cs="Arial"/>
          <w:b/>
          <w:sz w:val="20"/>
          <w:szCs w:val="20"/>
        </w:rPr>
      </w:pPr>
    </w:p>
    <w:p w14:paraId="2ECD11D4" w14:textId="77777777" w:rsidR="00867C5B" w:rsidRPr="00423751" w:rsidRDefault="006A37AC" w:rsidP="00EB6782">
      <w:pPr>
        <w:pStyle w:val="bt"/>
        <w:spacing w:before="0" w:beforeAutospacing="0" w:after="160" w:afterAutospacing="0" w:line="253" w:lineRule="atLeast"/>
        <w:jc w:val="center"/>
        <w:rPr>
          <w:rFonts w:ascii="Arial" w:hAnsi="Arial" w:cs="Arial"/>
          <w:b/>
          <w:bCs/>
          <w:color w:val="000000"/>
          <w:sz w:val="20"/>
          <w:szCs w:val="20"/>
        </w:rPr>
      </w:pPr>
      <w:r>
        <w:rPr>
          <w:rStyle w:val="br"/>
          <w:rFonts w:ascii="Arial" w:hAnsi="Arial" w:cs="Arial"/>
          <w:b/>
          <w:bCs/>
          <w:color w:val="000000"/>
          <w:sz w:val="20"/>
          <w:szCs w:val="20"/>
        </w:rPr>
        <w:t>Return of Capital – Conversion and Redemption</w:t>
      </w:r>
    </w:p>
    <w:p w14:paraId="0C31C68A" w14:textId="77777777" w:rsidR="00292002" w:rsidRDefault="00292002" w:rsidP="00C97AA6">
      <w:pPr>
        <w:pStyle w:val="Default"/>
        <w:jc w:val="both"/>
        <w:rPr>
          <w:rStyle w:val="A5"/>
          <w:rFonts w:ascii="Arial" w:eastAsia="Times New Roman" w:hAnsi="Arial" w:cs="Arial"/>
          <w:b/>
          <w:sz w:val="20"/>
          <w:szCs w:val="20"/>
          <w:lang w:eastAsia="en-IE"/>
        </w:rPr>
      </w:pPr>
    </w:p>
    <w:p w14:paraId="6C9A4B69" w14:textId="47E09773" w:rsidR="006A37AC" w:rsidRPr="006B679A" w:rsidRDefault="006A37AC" w:rsidP="006A37AC">
      <w:pPr>
        <w:spacing w:line="253" w:lineRule="atLeast"/>
        <w:jc w:val="both"/>
        <w:rPr>
          <w:rFonts w:ascii="Arial" w:eastAsia="Times New Roman" w:hAnsi="Arial" w:cs="Arial"/>
          <w:color w:val="000000"/>
          <w:sz w:val="20"/>
          <w:szCs w:val="20"/>
        </w:rPr>
      </w:pPr>
      <w:r w:rsidRPr="006B679A">
        <w:rPr>
          <w:rStyle w:val="A5"/>
          <w:rFonts w:ascii="Arial" w:eastAsia="Times New Roman" w:hAnsi="Arial" w:cs="Arial"/>
          <w:sz w:val="20"/>
          <w:szCs w:val="20"/>
          <w:lang w:eastAsia="en-IE"/>
        </w:rPr>
        <w:t xml:space="preserve">Following approval at the EGM of 16 May </w:t>
      </w:r>
      <w:r w:rsidR="00536F0D">
        <w:rPr>
          <w:rStyle w:val="A5"/>
          <w:rFonts w:ascii="Arial" w:eastAsia="Times New Roman" w:hAnsi="Arial" w:cs="Arial"/>
          <w:sz w:val="20"/>
          <w:szCs w:val="20"/>
          <w:lang w:eastAsia="en-IE"/>
        </w:rPr>
        <w:t xml:space="preserve">2018 </w:t>
      </w:r>
      <w:r w:rsidRPr="006B679A">
        <w:rPr>
          <w:rStyle w:val="A5"/>
          <w:rFonts w:ascii="Arial" w:eastAsia="Times New Roman" w:hAnsi="Arial" w:cs="Arial"/>
          <w:sz w:val="20"/>
          <w:szCs w:val="20"/>
          <w:lang w:eastAsia="en-IE"/>
        </w:rPr>
        <w:t xml:space="preserve">and pursuant to the terms of the Return of Capital as </w:t>
      </w:r>
      <w:r w:rsidR="00AF7A5C">
        <w:rPr>
          <w:rStyle w:val="A5"/>
          <w:rFonts w:ascii="Arial" w:eastAsia="Times New Roman" w:hAnsi="Arial" w:cs="Arial"/>
          <w:sz w:val="20"/>
          <w:szCs w:val="20"/>
          <w:lang w:eastAsia="en-IE"/>
        </w:rPr>
        <w:t>set out</w:t>
      </w:r>
      <w:r w:rsidRPr="006B679A">
        <w:rPr>
          <w:rStyle w:val="A5"/>
          <w:rFonts w:ascii="Arial" w:eastAsia="Times New Roman" w:hAnsi="Arial" w:cs="Arial"/>
          <w:sz w:val="20"/>
          <w:szCs w:val="20"/>
          <w:lang w:eastAsia="en-IE"/>
        </w:rPr>
        <w:t xml:space="preserve"> in the EGM Circular of 23 April</w:t>
      </w:r>
      <w:r w:rsidR="00536F0D">
        <w:rPr>
          <w:rStyle w:val="A5"/>
          <w:rFonts w:ascii="Arial" w:eastAsia="Times New Roman" w:hAnsi="Arial" w:cs="Arial"/>
          <w:sz w:val="20"/>
          <w:szCs w:val="20"/>
          <w:lang w:eastAsia="en-IE"/>
        </w:rPr>
        <w:t xml:space="preserve"> 2018</w:t>
      </w:r>
      <w:r w:rsidRPr="006B679A">
        <w:rPr>
          <w:rStyle w:val="A5"/>
          <w:rFonts w:ascii="Arial" w:eastAsia="Times New Roman" w:hAnsi="Arial" w:cs="Arial"/>
          <w:sz w:val="20"/>
          <w:szCs w:val="20"/>
          <w:lang w:eastAsia="en-IE"/>
        </w:rPr>
        <w:t xml:space="preserve">, Donegal announces today </w:t>
      </w:r>
      <w:r w:rsidR="00AF7A5C">
        <w:rPr>
          <w:rStyle w:val="A5"/>
          <w:rFonts w:ascii="Arial" w:eastAsia="Times New Roman" w:hAnsi="Arial" w:cs="Arial"/>
          <w:sz w:val="20"/>
          <w:szCs w:val="20"/>
          <w:lang w:eastAsia="en-IE"/>
        </w:rPr>
        <w:t xml:space="preserve">that </w:t>
      </w:r>
      <w:r w:rsidRPr="006B679A">
        <w:rPr>
          <w:rStyle w:val="A5"/>
          <w:rFonts w:ascii="Arial" w:eastAsia="Times New Roman" w:hAnsi="Arial" w:cs="Arial"/>
          <w:sz w:val="20"/>
          <w:szCs w:val="20"/>
          <w:lang w:eastAsia="en-IE"/>
        </w:rPr>
        <w:t>the Conversion and Redemption have been implemented</w:t>
      </w:r>
      <w:r w:rsidR="00AF7A5C">
        <w:rPr>
          <w:rStyle w:val="A5"/>
          <w:rFonts w:ascii="Arial" w:eastAsia="Times New Roman" w:hAnsi="Arial" w:cs="Arial"/>
          <w:sz w:val="20"/>
          <w:szCs w:val="20"/>
          <w:lang w:eastAsia="en-IE"/>
        </w:rPr>
        <w:t>, as detailed below,</w:t>
      </w:r>
      <w:r w:rsidRPr="006B679A">
        <w:rPr>
          <w:rStyle w:val="A5"/>
          <w:rFonts w:ascii="Arial" w:eastAsia="Times New Roman" w:hAnsi="Arial" w:cs="Arial"/>
          <w:sz w:val="20"/>
          <w:szCs w:val="20"/>
          <w:lang w:eastAsia="en-IE"/>
        </w:rPr>
        <w:t xml:space="preserve"> </w:t>
      </w:r>
      <w:r w:rsidR="00AF7A5C">
        <w:rPr>
          <w:rStyle w:val="A5"/>
          <w:rFonts w:ascii="Arial" w:eastAsia="Times New Roman" w:hAnsi="Arial" w:cs="Arial"/>
          <w:sz w:val="20"/>
          <w:szCs w:val="20"/>
          <w:lang w:eastAsia="en-IE"/>
        </w:rPr>
        <w:t>which will result in Donegal returning</w:t>
      </w:r>
      <w:r w:rsidRPr="006B679A">
        <w:rPr>
          <w:rStyle w:val="A5"/>
          <w:rFonts w:ascii="Arial" w:eastAsia="Times New Roman" w:hAnsi="Arial" w:cs="Arial"/>
          <w:sz w:val="20"/>
          <w:szCs w:val="20"/>
          <w:lang w:eastAsia="en-IE"/>
        </w:rPr>
        <w:t xml:space="preserve"> </w:t>
      </w:r>
      <w:r w:rsidR="007662F7">
        <w:rPr>
          <w:rStyle w:val="A5"/>
          <w:rFonts w:ascii="Arial" w:eastAsia="Times New Roman" w:hAnsi="Arial" w:cs="Arial"/>
          <w:sz w:val="20"/>
          <w:szCs w:val="20"/>
          <w:lang w:eastAsia="en-IE"/>
        </w:rPr>
        <w:t xml:space="preserve">approximately </w:t>
      </w:r>
      <w:r w:rsidRPr="006B679A">
        <w:rPr>
          <w:rStyle w:val="A5"/>
          <w:rFonts w:ascii="Arial" w:eastAsia="Times New Roman" w:hAnsi="Arial" w:cs="Arial"/>
          <w:sz w:val="20"/>
          <w:szCs w:val="20"/>
          <w:lang w:eastAsia="en-IE"/>
        </w:rPr>
        <w:t>€</w:t>
      </w:r>
      <w:r w:rsidR="008C4DCC">
        <w:rPr>
          <w:rStyle w:val="A5"/>
          <w:rFonts w:ascii="Arial" w:eastAsia="Times New Roman" w:hAnsi="Arial" w:cs="Arial"/>
          <w:sz w:val="20"/>
          <w:szCs w:val="20"/>
          <w:lang w:eastAsia="en-IE"/>
        </w:rPr>
        <w:t xml:space="preserve">45 million </w:t>
      </w:r>
      <w:r w:rsidRPr="006B679A">
        <w:rPr>
          <w:rStyle w:val="A5"/>
          <w:rFonts w:ascii="Arial" w:eastAsia="Times New Roman" w:hAnsi="Arial" w:cs="Arial"/>
          <w:sz w:val="20"/>
          <w:szCs w:val="20"/>
          <w:lang w:eastAsia="en-IE"/>
        </w:rPr>
        <w:t xml:space="preserve">to shareholders.  </w:t>
      </w:r>
      <w:r w:rsidR="006F2D9A">
        <w:rPr>
          <w:rStyle w:val="A5"/>
          <w:rFonts w:ascii="Arial" w:eastAsia="Times New Roman" w:hAnsi="Arial" w:cs="Arial"/>
          <w:sz w:val="20"/>
          <w:szCs w:val="20"/>
          <w:lang w:eastAsia="en-IE"/>
        </w:rPr>
        <w:t>Together with ongoing share purchases in the past number of week</w:t>
      </w:r>
      <w:r w:rsidR="00536F0D">
        <w:rPr>
          <w:rStyle w:val="A5"/>
          <w:rFonts w:ascii="Arial" w:eastAsia="Times New Roman" w:hAnsi="Arial" w:cs="Arial"/>
          <w:sz w:val="20"/>
          <w:szCs w:val="20"/>
          <w:lang w:eastAsia="en-IE"/>
        </w:rPr>
        <w:t>s</w:t>
      </w:r>
      <w:r w:rsidR="006F2D9A">
        <w:rPr>
          <w:rStyle w:val="A5"/>
          <w:rFonts w:ascii="Arial" w:eastAsia="Times New Roman" w:hAnsi="Arial" w:cs="Arial"/>
          <w:sz w:val="20"/>
          <w:szCs w:val="20"/>
          <w:lang w:eastAsia="en-IE"/>
        </w:rPr>
        <w:t xml:space="preserve"> this will result in the Company returning approximately €50 million to shareholders. </w:t>
      </w:r>
      <w:r w:rsidRPr="006B679A">
        <w:rPr>
          <w:rFonts w:ascii="Arial" w:eastAsia="Times New Roman" w:hAnsi="Arial" w:cs="Arial"/>
          <w:color w:val="000000"/>
          <w:sz w:val="20"/>
          <w:szCs w:val="20"/>
        </w:rPr>
        <w:t>All capitalised terms and definitions pertaining to the Return of Capital contained in this Announcement shall have the meaning ascribed thereto in the EGM Circular.</w:t>
      </w:r>
    </w:p>
    <w:p w14:paraId="764BEC95" w14:textId="77777777" w:rsidR="00423751" w:rsidRDefault="00423751" w:rsidP="00C97AA6">
      <w:pPr>
        <w:pStyle w:val="Default"/>
        <w:jc w:val="both"/>
        <w:rPr>
          <w:rStyle w:val="A5"/>
          <w:rFonts w:ascii="Arial" w:eastAsia="Times New Roman" w:hAnsi="Arial" w:cs="Arial"/>
          <w:sz w:val="20"/>
          <w:szCs w:val="20"/>
          <w:lang w:eastAsia="en-IE"/>
        </w:rPr>
      </w:pPr>
    </w:p>
    <w:p w14:paraId="59C010A1" w14:textId="77777777" w:rsidR="006B679A" w:rsidRPr="006B679A" w:rsidRDefault="006B679A" w:rsidP="00C97AA6">
      <w:pPr>
        <w:pStyle w:val="Default"/>
        <w:jc w:val="both"/>
        <w:rPr>
          <w:rStyle w:val="A5"/>
          <w:rFonts w:ascii="Arial" w:eastAsia="Times New Roman" w:hAnsi="Arial" w:cs="Arial"/>
          <w:b/>
          <w:sz w:val="20"/>
          <w:szCs w:val="20"/>
          <w:lang w:eastAsia="en-IE"/>
        </w:rPr>
      </w:pPr>
      <w:r w:rsidRPr="006B679A">
        <w:rPr>
          <w:rStyle w:val="A5"/>
          <w:rFonts w:ascii="Arial" w:eastAsia="Times New Roman" w:hAnsi="Arial" w:cs="Arial"/>
          <w:b/>
          <w:sz w:val="20"/>
          <w:szCs w:val="20"/>
          <w:lang w:eastAsia="en-IE"/>
        </w:rPr>
        <w:t>Conversion &amp; Redemption</w:t>
      </w:r>
    </w:p>
    <w:p w14:paraId="384ADE1C" w14:textId="77777777" w:rsidR="006B679A" w:rsidRPr="006B679A" w:rsidRDefault="006B679A" w:rsidP="00C97AA6">
      <w:pPr>
        <w:pStyle w:val="Default"/>
        <w:jc w:val="both"/>
        <w:rPr>
          <w:rStyle w:val="A5"/>
          <w:rFonts w:ascii="Arial" w:eastAsia="Times New Roman" w:hAnsi="Arial" w:cs="Arial"/>
          <w:sz w:val="20"/>
          <w:szCs w:val="20"/>
          <w:lang w:eastAsia="en-IE"/>
        </w:rPr>
      </w:pPr>
    </w:p>
    <w:tbl>
      <w:tblPr>
        <w:tblStyle w:val="TableGrid"/>
        <w:tblW w:w="9067" w:type="dxa"/>
        <w:tblLook w:val="04A0" w:firstRow="1" w:lastRow="0" w:firstColumn="1" w:lastColumn="0" w:noHBand="0" w:noVBand="1"/>
      </w:tblPr>
      <w:tblGrid>
        <w:gridCol w:w="1838"/>
        <w:gridCol w:w="1843"/>
        <w:gridCol w:w="1701"/>
        <w:gridCol w:w="1843"/>
        <w:gridCol w:w="1842"/>
      </w:tblGrid>
      <w:tr w:rsidR="003608B8" w:rsidRPr="002951DF" w14:paraId="6A921318" w14:textId="77777777" w:rsidTr="002951DF">
        <w:tc>
          <w:tcPr>
            <w:tcW w:w="1838" w:type="dxa"/>
          </w:tcPr>
          <w:p w14:paraId="2B37A80C" w14:textId="77777777" w:rsidR="003608B8" w:rsidRPr="002951DF" w:rsidRDefault="003608B8" w:rsidP="00131B81">
            <w:pPr>
              <w:spacing w:line="253" w:lineRule="atLeast"/>
              <w:jc w:val="center"/>
              <w:rPr>
                <w:rFonts w:ascii="Arial" w:eastAsia="Times New Roman" w:hAnsi="Arial" w:cs="Arial"/>
                <w:b/>
                <w:color w:val="000000"/>
                <w:sz w:val="16"/>
                <w:szCs w:val="16"/>
              </w:rPr>
            </w:pPr>
            <w:r w:rsidRPr="002951DF">
              <w:rPr>
                <w:rFonts w:ascii="Arial" w:eastAsia="Times New Roman" w:hAnsi="Arial" w:cs="Arial"/>
                <w:b/>
                <w:color w:val="000000"/>
                <w:sz w:val="16"/>
                <w:szCs w:val="16"/>
              </w:rPr>
              <w:t>No. of Shares Converted</w:t>
            </w:r>
          </w:p>
        </w:tc>
        <w:tc>
          <w:tcPr>
            <w:tcW w:w="1843" w:type="dxa"/>
          </w:tcPr>
          <w:p w14:paraId="11369FF7" w14:textId="77777777" w:rsidR="003608B8" w:rsidRPr="002951DF" w:rsidRDefault="003608B8" w:rsidP="00131B81">
            <w:pPr>
              <w:spacing w:line="253" w:lineRule="atLeast"/>
              <w:jc w:val="center"/>
              <w:rPr>
                <w:rFonts w:ascii="Arial" w:eastAsia="Times New Roman" w:hAnsi="Arial" w:cs="Arial"/>
                <w:b/>
                <w:color w:val="000000"/>
                <w:sz w:val="16"/>
                <w:szCs w:val="16"/>
              </w:rPr>
            </w:pPr>
            <w:r w:rsidRPr="002951DF">
              <w:rPr>
                <w:rFonts w:ascii="Arial" w:eastAsia="Times New Roman" w:hAnsi="Arial" w:cs="Arial"/>
                <w:b/>
                <w:color w:val="000000"/>
                <w:sz w:val="16"/>
                <w:szCs w:val="16"/>
              </w:rPr>
              <w:t>No. of Shares Redeemed</w:t>
            </w:r>
          </w:p>
        </w:tc>
        <w:tc>
          <w:tcPr>
            <w:tcW w:w="1701" w:type="dxa"/>
          </w:tcPr>
          <w:p w14:paraId="77A384C5" w14:textId="77777777" w:rsidR="003608B8" w:rsidRPr="002951DF" w:rsidRDefault="003608B8" w:rsidP="00131B81">
            <w:pPr>
              <w:spacing w:line="253" w:lineRule="atLeast"/>
              <w:jc w:val="center"/>
              <w:rPr>
                <w:rFonts w:ascii="Arial" w:eastAsia="Times New Roman" w:hAnsi="Arial" w:cs="Arial"/>
                <w:b/>
                <w:color w:val="000000"/>
                <w:sz w:val="16"/>
                <w:szCs w:val="16"/>
              </w:rPr>
            </w:pPr>
            <w:r w:rsidRPr="002951DF">
              <w:rPr>
                <w:rFonts w:ascii="Arial" w:eastAsia="Times New Roman" w:hAnsi="Arial" w:cs="Arial"/>
                <w:b/>
                <w:color w:val="000000"/>
                <w:sz w:val="16"/>
                <w:szCs w:val="16"/>
              </w:rPr>
              <w:t>Total Redemption Proceeds</w:t>
            </w:r>
          </w:p>
        </w:tc>
        <w:tc>
          <w:tcPr>
            <w:tcW w:w="1843" w:type="dxa"/>
          </w:tcPr>
          <w:p w14:paraId="572962B1" w14:textId="77777777" w:rsidR="003608B8" w:rsidRPr="002951DF" w:rsidRDefault="003608B8" w:rsidP="006B679A">
            <w:pPr>
              <w:spacing w:line="253" w:lineRule="atLeast"/>
              <w:jc w:val="center"/>
              <w:rPr>
                <w:rFonts w:ascii="Arial" w:eastAsia="Times New Roman" w:hAnsi="Arial" w:cs="Arial"/>
                <w:b/>
                <w:color w:val="000000"/>
                <w:sz w:val="16"/>
                <w:szCs w:val="16"/>
              </w:rPr>
            </w:pPr>
            <w:r w:rsidRPr="002951DF">
              <w:rPr>
                <w:rFonts w:ascii="Arial" w:eastAsia="Times New Roman" w:hAnsi="Arial" w:cs="Arial"/>
                <w:b/>
                <w:color w:val="000000"/>
                <w:sz w:val="16"/>
                <w:szCs w:val="16"/>
              </w:rPr>
              <w:t>No. of Deferred Shares Issued</w:t>
            </w:r>
            <w:r w:rsidRPr="002951DF">
              <w:rPr>
                <w:rFonts w:ascii="Arial" w:eastAsia="Times New Roman" w:hAnsi="Arial" w:cs="Arial"/>
                <w:b/>
                <w:color w:val="000000"/>
                <w:sz w:val="16"/>
                <w:szCs w:val="16"/>
                <w:vertAlign w:val="superscript"/>
              </w:rPr>
              <w:t>1</w:t>
            </w:r>
          </w:p>
        </w:tc>
        <w:tc>
          <w:tcPr>
            <w:tcW w:w="1842" w:type="dxa"/>
          </w:tcPr>
          <w:p w14:paraId="69BBF425" w14:textId="77777777" w:rsidR="003608B8" w:rsidRPr="002951DF" w:rsidRDefault="003608B8" w:rsidP="00735228">
            <w:pPr>
              <w:spacing w:line="253" w:lineRule="atLeast"/>
              <w:jc w:val="center"/>
              <w:rPr>
                <w:rFonts w:ascii="Arial" w:eastAsia="Times New Roman" w:hAnsi="Arial" w:cs="Arial"/>
                <w:b/>
                <w:color w:val="000000"/>
                <w:sz w:val="16"/>
                <w:szCs w:val="16"/>
              </w:rPr>
            </w:pPr>
            <w:r w:rsidRPr="002951DF">
              <w:rPr>
                <w:rFonts w:ascii="Arial" w:eastAsia="Times New Roman" w:hAnsi="Arial" w:cs="Arial"/>
                <w:b/>
                <w:color w:val="000000"/>
                <w:sz w:val="16"/>
                <w:szCs w:val="16"/>
              </w:rPr>
              <w:t>Ordinary Shares Outstanding</w:t>
            </w:r>
            <w:r w:rsidRPr="002951DF">
              <w:rPr>
                <w:rFonts w:ascii="Arial" w:eastAsia="Times New Roman" w:hAnsi="Arial" w:cs="Arial"/>
                <w:b/>
                <w:color w:val="000000"/>
                <w:sz w:val="16"/>
                <w:szCs w:val="16"/>
                <w:vertAlign w:val="superscript"/>
              </w:rPr>
              <w:t>2</w:t>
            </w:r>
          </w:p>
        </w:tc>
      </w:tr>
      <w:tr w:rsidR="003608B8" w:rsidRPr="00292002" w14:paraId="4D13ED43" w14:textId="77777777" w:rsidTr="002951DF">
        <w:trPr>
          <w:trHeight w:val="468"/>
        </w:trPr>
        <w:tc>
          <w:tcPr>
            <w:tcW w:w="1838" w:type="dxa"/>
          </w:tcPr>
          <w:p w14:paraId="00F36FE4" w14:textId="56D9ADF1" w:rsidR="003608B8" w:rsidRDefault="007662F7" w:rsidP="002951DF">
            <w:pPr>
              <w:spacing w:line="253" w:lineRule="atLeast"/>
              <w:jc w:val="center"/>
              <w:rPr>
                <w:rFonts w:ascii="Arial" w:eastAsia="Times New Roman" w:hAnsi="Arial" w:cs="Arial"/>
                <w:color w:val="000000"/>
                <w:sz w:val="16"/>
                <w:szCs w:val="16"/>
              </w:rPr>
            </w:pPr>
            <w:r>
              <w:rPr>
                <w:rFonts w:ascii="Arial" w:eastAsia="Times New Roman" w:hAnsi="Arial" w:cs="Arial"/>
                <w:color w:val="000000"/>
                <w:sz w:val="16"/>
                <w:szCs w:val="16"/>
              </w:rPr>
              <w:t>4,860,33</w:t>
            </w:r>
            <w:r w:rsidR="0069144D">
              <w:rPr>
                <w:rFonts w:ascii="Arial" w:eastAsia="Times New Roman" w:hAnsi="Arial" w:cs="Arial"/>
                <w:color w:val="000000"/>
                <w:sz w:val="16"/>
                <w:szCs w:val="16"/>
              </w:rPr>
              <w:t>6</w:t>
            </w:r>
          </w:p>
          <w:p w14:paraId="38ACB492" w14:textId="77777777" w:rsidR="003608B8" w:rsidRPr="00735228" w:rsidRDefault="003608B8" w:rsidP="00735228">
            <w:pPr>
              <w:spacing w:line="253" w:lineRule="atLeast"/>
              <w:jc w:val="both"/>
              <w:rPr>
                <w:rFonts w:ascii="Arial" w:eastAsia="Times New Roman" w:hAnsi="Arial" w:cs="Arial"/>
                <w:color w:val="000000"/>
                <w:sz w:val="16"/>
                <w:szCs w:val="16"/>
              </w:rPr>
            </w:pPr>
          </w:p>
        </w:tc>
        <w:tc>
          <w:tcPr>
            <w:tcW w:w="1843" w:type="dxa"/>
          </w:tcPr>
          <w:p w14:paraId="54981B51" w14:textId="77F2DA94" w:rsidR="003608B8" w:rsidRPr="00292002" w:rsidRDefault="007662F7" w:rsidP="0069144D">
            <w:pPr>
              <w:spacing w:line="253" w:lineRule="atLeast"/>
              <w:jc w:val="center"/>
              <w:rPr>
                <w:rFonts w:ascii="Arial" w:eastAsia="Times New Roman" w:hAnsi="Arial" w:cs="Arial"/>
                <w:color w:val="000000"/>
                <w:sz w:val="16"/>
                <w:szCs w:val="16"/>
              </w:rPr>
            </w:pPr>
            <w:r>
              <w:rPr>
                <w:rFonts w:ascii="Arial" w:eastAsia="Times New Roman" w:hAnsi="Arial" w:cs="Arial"/>
                <w:color w:val="000000"/>
                <w:sz w:val="16"/>
                <w:szCs w:val="16"/>
              </w:rPr>
              <w:t>4,860,33</w:t>
            </w:r>
            <w:r w:rsidR="0069144D">
              <w:rPr>
                <w:rFonts w:ascii="Arial" w:eastAsia="Times New Roman" w:hAnsi="Arial" w:cs="Arial"/>
                <w:color w:val="000000"/>
                <w:sz w:val="16"/>
                <w:szCs w:val="16"/>
              </w:rPr>
              <w:t>6</w:t>
            </w:r>
          </w:p>
        </w:tc>
        <w:tc>
          <w:tcPr>
            <w:tcW w:w="1701" w:type="dxa"/>
          </w:tcPr>
          <w:p w14:paraId="6A5CE583" w14:textId="3AB84C6A" w:rsidR="003608B8" w:rsidRPr="007662F7" w:rsidRDefault="007662F7" w:rsidP="0069144D">
            <w:pPr>
              <w:spacing w:line="253" w:lineRule="atLeast"/>
              <w:jc w:val="center"/>
              <w:rPr>
                <w:rFonts w:ascii="Arial" w:eastAsia="Times New Roman" w:hAnsi="Arial" w:cs="Arial"/>
                <w:color w:val="000000"/>
                <w:sz w:val="16"/>
                <w:szCs w:val="16"/>
              </w:rPr>
            </w:pPr>
            <w:r w:rsidRPr="007662F7">
              <w:rPr>
                <w:rFonts w:ascii="Arial" w:eastAsia="Times New Roman" w:hAnsi="Arial" w:cs="Arial"/>
                <w:color w:val="000000"/>
                <w:sz w:val="16"/>
                <w:szCs w:val="16"/>
              </w:rPr>
              <w:t>€</w:t>
            </w:r>
            <w:r w:rsidRPr="002951DF">
              <w:rPr>
                <w:rStyle w:val="A5"/>
                <w:rFonts w:ascii="Arial" w:eastAsia="Times New Roman" w:hAnsi="Arial" w:cs="Arial"/>
                <w:sz w:val="16"/>
                <w:szCs w:val="16"/>
                <w:lang w:eastAsia="en-IE"/>
              </w:rPr>
              <w:t>44,958,</w:t>
            </w:r>
            <w:r w:rsidR="0069144D">
              <w:rPr>
                <w:rStyle w:val="A5"/>
                <w:rFonts w:ascii="Arial" w:eastAsia="Times New Roman" w:hAnsi="Arial" w:cs="Arial"/>
                <w:sz w:val="16"/>
                <w:szCs w:val="16"/>
                <w:lang w:eastAsia="en-IE"/>
              </w:rPr>
              <w:t>108</w:t>
            </w:r>
          </w:p>
        </w:tc>
        <w:tc>
          <w:tcPr>
            <w:tcW w:w="1843" w:type="dxa"/>
          </w:tcPr>
          <w:p w14:paraId="08DDD2CC" w14:textId="1E631C36" w:rsidR="003608B8" w:rsidRPr="00292002" w:rsidRDefault="00955AE4" w:rsidP="002951DF">
            <w:pPr>
              <w:spacing w:line="253" w:lineRule="atLeast"/>
              <w:jc w:val="center"/>
              <w:rPr>
                <w:rFonts w:ascii="Arial" w:eastAsia="Times New Roman" w:hAnsi="Arial" w:cs="Arial"/>
                <w:color w:val="000000"/>
                <w:sz w:val="16"/>
                <w:szCs w:val="16"/>
              </w:rPr>
            </w:pPr>
            <w:r>
              <w:rPr>
                <w:rFonts w:ascii="Arial" w:eastAsia="Times New Roman" w:hAnsi="Arial" w:cs="Arial"/>
                <w:color w:val="000000"/>
                <w:sz w:val="16"/>
                <w:szCs w:val="16"/>
              </w:rPr>
              <w:t>Nil</w:t>
            </w:r>
          </w:p>
        </w:tc>
        <w:tc>
          <w:tcPr>
            <w:tcW w:w="1842" w:type="dxa"/>
          </w:tcPr>
          <w:p w14:paraId="40EC876B" w14:textId="4B5840AB" w:rsidR="003608B8" w:rsidRPr="00292002" w:rsidRDefault="007662F7" w:rsidP="0069144D">
            <w:pPr>
              <w:spacing w:line="253" w:lineRule="atLeast"/>
              <w:jc w:val="center"/>
              <w:rPr>
                <w:rFonts w:ascii="Arial" w:eastAsia="Times New Roman" w:hAnsi="Arial" w:cs="Arial"/>
                <w:color w:val="000000"/>
                <w:sz w:val="16"/>
                <w:szCs w:val="16"/>
              </w:rPr>
            </w:pPr>
            <w:r>
              <w:rPr>
                <w:rFonts w:ascii="Arial" w:eastAsia="Times New Roman" w:hAnsi="Arial" w:cs="Arial"/>
                <w:color w:val="000000"/>
                <w:sz w:val="16"/>
                <w:szCs w:val="16"/>
              </w:rPr>
              <w:t>4,187,92</w:t>
            </w:r>
            <w:r w:rsidR="0069144D">
              <w:rPr>
                <w:rFonts w:ascii="Arial" w:eastAsia="Times New Roman" w:hAnsi="Arial" w:cs="Arial"/>
                <w:color w:val="000000"/>
                <w:sz w:val="16"/>
                <w:szCs w:val="16"/>
              </w:rPr>
              <w:t>3</w:t>
            </w:r>
          </w:p>
        </w:tc>
      </w:tr>
    </w:tbl>
    <w:p w14:paraId="1081F191" w14:textId="77777777" w:rsidR="006B679A" w:rsidRPr="006B679A" w:rsidRDefault="00735228" w:rsidP="002951DF">
      <w:pPr>
        <w:pStyle w:val="Default"/>
        <w:spacing w:before="60"/>
        <w:jc w:val="both"/>
        <w:rPr>
          <w:rStyle w:val="A5"/>
          <w:sz w:val="24"/>
          <w:szCs w:val="24"/>
        </w:rPr>
      </w:pPr>
      <w:r w:rsidRPr="00D90662">
        <w:rPr>
          <w:rStyle w:val="A5"/>
          <w:rFonts w:ascii="Arial" w:eastAsia="Times New Roman" w:hAnsi="Arial" w:cs="Arial"/>
          <w:b/>
          <w:sz w:val="16"/>
          <w:szCs w:val="16"/>
          <w:lang w:eastAsia="en-IE"/>
        </w:rPr>
        <w:t>Note 1:</w:t>
      </w:r>
      <w:r w:rsidRPr="00735228">
        <w:rPr>
          <w:rStyle w:val="A5"/>
          <w:rFonts w:ascii="Arial" w:eastAsia="Times New Roman" w:hAnsi="Arial" w:cs="Arial"/>
          <w:sz w:val="16"/>
          <w:szCs w:val="16"/>
          <w:lang w:eastAsia="en-IE"/>
        </w:rPr>
        <w:t xml:space="preserve"> Number of </w:t>
      </w:r>
      <w:r w:rsidR="006B679A">
        <w:rPr>
          <w:rStyle w:val="A5"/>
          <w:rFonts w:ascii="Arial" w:eastAsia="Times New Roman" w:hAnsi="Arial" w:cs="Arial"/>
          <w:sz w:val="16"/>
          <w:szCs w:val="16"/>
          <w:lang w:eastAsia="en-IE"/>
        </w:rPr>
        <w:t xml:space="preserve">Deferred Shares issued pursuant to shareholders who notified </w:t>
      </w:r>
      <w:r w:rsidR="006B679A" w:rsidRPr="006B679A">
        <w:rPr>
          <w:rStyle w:val="A5"/>
          <w:rFonts w:ascii="Arial" w:eastAsia="Times New Roman" w:hAnsi="Arial" w:cs="Arial"/>
          <w:sz w:val="16"/>
          <w:szCs w:val="16"/>
          <w:lang w:eastAsia="en-IE"/>
        </w:rPr>
        <w:t>the Company in accordance with section 83(4) of the Companies Act 2014 before the Conversion Date of their unwillingness to have the pro rata portion of their Ordinary Shares at the Conversion Date converted i</w:t>
      </w:r>
      <w:r w:rsidR="006B679A">
        <w:rPr>
          <w:rStyle w:val="A5"/>
          <w:rFonts w:ascii="Arial" w:eastAsia="Times New Roman" w:hAnsi="Arial" w:cs="Arial"/>
          <w:sz w:val="16"/>
          <w:szCs w:val="16"/>
          <w:lang w:eastAsia="en-IE"/>
        </w:rPr>
        <w:t>nto Redeemable Ordinary Shares</w:t>
      </w:r>
    </w:p>
    <w:p w14:paraId="664B59E0" w14:textId="14521E13" w:rsidR="00DC3A97" w:rsidRDefault="00735228" w:rsidP="002951DF">
      <w:pPr>
        <w:pStyle w:val="Default"/>
        <w:jc w:val="both"/>
        <w:rPr>
          <w:rStyle w:val="A5"/>
          <w:rFonts w:ascii="Arial" w:eastAsia="Times New Roman" w:hAnsi="Arial" w:cs="Arial"/>
          <w:sz w:val="16"/>
          <w:szCs w:val="16"/>
          <w:lang w:eastAsia="en-IE"/>
        </w:rPr>
      </w:pPr>
      <w:r w:rsidRPr="00D90662">
        <w:rPr>
          <w:rStyle w:val="A5"/>
          <w:rFonts w:ascii="Arial" w:eastAsia="Times New Roman" w:hAnsi="Arial" w:cs="Arial"/>
          <w:b/>
          <w:sz w:val="16"/>
          <w:szCs w:val="16"/>
          <w:lang w:eastAsia="en-IE"/>
        </w:rPr>
        <w:t>Note 2:</w:t>
      </w:r>
      <w:r w:rsidRPr="00735228">
        <w:rPr>
          <w:rStyle w:val="A5"/>
          <w:rFonts w:ascii="Arial" w:eastAsia="Times New Roman" w:hAnsi="Arial" w:cs="Arial"/>
          <w:sz w:val="16"/>
          <w:szCs w:val="16"/>
          <w:lang w:eastAsia="en-IE"/>
        </w:rPr>
        <w:t xml:space="preserve"> Number of Ordinary Shares Outstanding immediately following Redemption</w:t>
      </w:r>
      <w:r>
        <w:rPr>
          <w:rStyle w:val="A5"/>
          <w:rFonts w:ascii="Arial" w:eastAsia="Times New Roman" w:hAnsi="Arial" w:cs="Arial"/>
          <w:sz w:val="16"/>
          <w:szCs w:val="16"/>
          <w:lang w:eastAsia="en-IE"/>
        </w:rPr>
        <w:t xml:space="preserve"> at 12.01am </w:t>
      </w:r>
      <w:r w:rsidR="00D373D6">
        <w:rPr>
          <w:rStyle w:val="A5"/>
          <w:rFonts w:ascii="Arial" w:eastAsia="Times New Roman" w:hAnsi="Arial" w:cs="Arial"/>
          <w:sz w:val="16"/>
          <w:szCs w:val="16"/>
          <w:lang w:eastAsia="en-IE"/>
        </w:rPr>
        <w:t xml:space="preserve">on </w:t>
      </w:r>
      <w:r>
        <w:rPr>
          <w:rStyle w:val="A5"/>
          <w:rFonts w:ascii="Arial" w:eastAsia="Times New Roman" w:hAnsi="Arial" w:cs="Arial"/>
          <w:sz w:val="16"/>
          <w:szCs w:val="16"/>
          <w:lang w:eastAsia="en-IE"/>
        </w:rPr>
        <w:t>18 May 2018</w:t>
      </w:r>
    </w:p>
    <w:p w14:paraId="5070845A" w14:textId="0ADFE8FF" w:rsidR="00A12381" w:rsidRDefault="00A12381" w:rsidP="002951DF">
      <w:pPr>
        <w:pStyle w:val="Default"/>
        <w:jc w:val="both"/>
        <w:rPr>
          <w:rStyle w:val="A5"/>
          <w:rFonts w:ascii="Arial" w:eastAsia="Times New Roman" w:hAnsi="Arial" w:cs="Arial"/>
          <w:sz w:val="16"/>
          <w:szCs w:val="16"/>
          <w:lang w:eastAsia="en-IE"/>
        </w:rPr>
      </w:pPr>
      <w:r w:rsidRPr="00A12381">
        <w:rPr>
          <w:rStyle w:val="A5"/>
          <w:rFonts w:ascii="Arial" w:eastAsia="Times New Roman" w:hAnsi="Arial" w:cs="Arial"/>
          <w:b/>
          <w:sz w:val="16"/>
          <w:szCs w:val="16"/>
          <w:lang w:eastAsia="en-IE"/>
        </w:rPr>
        <w:t>Note 3:</w:t>
      </w:r>
      <w:r>
        <w:rPr>
          <w:rStyle w:val="A5"/>
          <w:rFonts w:ascii="Arial" w:eastAsia="Times New Roman" w:hAnsi="Arial" w:cs="Arial"/>
          <w:sz w:val="16"/>
          <w:szCs w:val="16"/>
          <w:lang w:eastAsia="en-IE"/>
        </w:rPr>
        <w:t xml:space="preserve"> </w:t>
      </w:r>
      <w:r w:rsidRPr="00A12381">
        <w:rPr>
          <w:rStyle w:val="A5"/>
          <w:rFonts w:ascii="Arial" w:eastAsia="Times New Roman" w:hAnsi="Arial" w:cs="Arial"/>
          <w:sz w:val="16"/>
          <w:szCs w:val="16"/>
          <w:lang w:eastAsia="en-IE"/>
        </w:rPr>
        <w:t>53.72571079</w:t>
      </w:r>
      <w:r>
        <w:rPr>
          <w:rStyle w:val="A5"/>
          <w:rFonts w:ascii="Arial" w:eastAsia="Times New Roman" w:hAnsi="Arial" w:cs="Arial"/>
          <w:sz w:val="16"/>
          <w:szCs w:val="16"/>
          <w:lang w:eastAsia="en-IE"/>
        </w:rPr>
        <w:t xml:space="preserve"> per cent was t</w:t>
      </w:r>
      <w:r w:rsidRPr="00A12381">
        <w:rPr>
          <w:rStyle w:val="A5"/>
          <w:rFonts w:ascii="Arial" w:eastAsia="Times New Roman" w:hAnsi="Arial" w:cs="Arial"/>
          <w:sz w:val="16"/>
          <w:szCs w:val="16"/>
          <w:lang w:eastAsia="en-IE"/>
        </w:rPr>
        <w:t xml:space="preserve">he exact </w:t>
      </w:r>
      <w:r>
        <w:rPr>
          <w:rStyle w:val="A5"/>
          <w:rFonts w:ascii="Arial" w:eastAsia="Times New Roman" w:hAnsi="Arial" w:cs="Arial"/>
          <w:sz w:val="16"/>
          <w:szCs w:val="16"/>
          <w:lang w:eastAsia="en-IE"/>
        </w:rPr>
        <w:t xml:space="preserve">conversion </w:t>
      </w:r>
      <w:r w:rsidRPr="00A12381">
        <w:rPr>
          <w:rStyle w:val="A5"/>
          <w:rFonts w:ascii="Arial" w:eastAsia="Times New Roman" w:hAnsi="Arial" w:cs="Arial"/>
          <w:sz w:val="16"/>
          <w:szCs w:val="16"/>
          <w:lang w:eastAsia="en-IE"/>
        </w:rPr>
        <w:t>per</w:t>
      </w:r>
      <w:bookmarkStart w:id="0" w:name="_GoBack"/>
      <w:bookmarkEnd w:id="0"/>
      <w:r w:rsidRPr="00A12381">
        <w:rPr>
          <w:rStyle w:val="A5"/>
          <w:rFonts w:ascii="Arial" w:eastAsia="Times New Roman" w:hAnsi="Arial" w:cs="Arial"/>
          <w:sz w:val="16"/>
          <w:szCs w:val="16"/>
          <w:lang w:eastAsia="en-IE"/>
        </w:rPr>
        <w:t>centage applied</w:t>
      </w:r>
    </w:p>
    <w:p w14:paraId="34745F54" w14:textId="77777777" w:rsidR="00162B27" w:rsidRDefault="00162B27" w:rsidP="002951DF">
      <w:pPr>
        <w:pStyle w:val="Default"/>
        <w:tabs>
          <w:tab w:val="left" w:pos="0"/>
        </w:tabs>
        <w:jc w:val="both"/>
        <w:rPr>
          <w:rStyle w:val="A5"/>
          <w:rFonts w:ascii="Arial" w:eastAsia="Times New Roman" w:hAnsi="Arial" w:cs="Arial"/>
          <w:sz w:val="20"/>
          <w:szCs w:val="20"/>
          <w:lang w:eastAsia="en-IE"/>
        </w:rPr>
      </w:pPr>
    </w:p>
    <w:p w14:paraId="4C9369C0" w14:textId="0225153D" w:rsidR="00D373D6" w:rsidRPr="002951DF" w:rsidRDefault="00D373D6" w:rsidP="002951DF">
      <w:pPr>
        <w:pStyle w:val="Default"/>
        <w:tabs>
          <w:tab w:val="left" w:pos="0"/>
        </w:tabs>
        <w:jc w:val="both"/>
        <w:rPr>
          <w:rStyle w:val="A5"/>
          <w:rFonts w:ascii="Arial" w:eastAsia="Times New Roman" w:hAnsi="Arial" w:cs="Arial"/>
          <w:sz w:val="20"/>
          <w:szCs w:val="20"/>
          <w:lang w:eastAsia="en-IE"/>
        </w:rPr>
      </w:pPr>
      <w:r>
        <w:rPr>
          <w:rStyle w:val="A5"/>
          <w:rFonts w:ascii="Arial" w:eastAsia="Times New Roman" w:hAnsi="Arial" w:cs="Arial"/>
          <w:sz w:val="20"/>
          <w:szCs w:val="20"/>
          <w:lang w:eastAsia="en-IE"/>
        </w:rPr>
        <w:t xml:space="preserve">Under the </w:t>
      </w:r>
      <w:r w:rsidRPr="002951DF">
        <w:rPr>
          <w:rStyle w:val="A5"/>
          <w:rFonts w:ascii="Arial" w:eastAsia="Times New Roman" w:hAnsi="Arial" w:cs="Arial"/>
          <w:sz w:val="20"/>
          <w:szCs w:val="20"/>
          <w:lang w:eastAsia="en-IE"/>
        </w:rPr>
        <w:t xml:space="preserve">Conversion and Redemption </w:t>
      </w:r>
      <w:r>
        <w:rPr>
          <w:rStyle w:val="A5"/>
          <w:rFonts w:ascii="Arial" w:eastAsia="Times New Roman" w:hAnsi="Arial" w:cs="Arial"/>
          <w:sz w:val="20"/>
          <w:szCs w:val="20"/>
          <w:lang w:eastAsia="en-IE"/>
        </w:rPr>
        <w:t>to implement the Return of Capital</w:t>
      </w:r>
      <w:r w:rsidRPr="002951DF">
        <w:rPr>
          <w:rStyle w:val="A5"/>
          <w:rFonts w:ascii="Arial" w:eastAsia="Times New Roman" w:hAnsi="Arial" w:cs="Arial"/>
          <w:sz w:val="20"/>
          <w:szCs w:val="20"/>
          <w:lang w:eastAsia="en-IE"/>
        </w:rPr>
        <w:t>, approximately 53.7</w:t>
      </w:r>
      <w:r w:rsidR="00536F0D">
        <w:rPr>
          <w:rStyle w:val="A5"/>
          <w:rFonts w:ascii="Arial" w:eastAsia="Times New Roman" w:hAnsi="Arial" w:cs="Arial"/>
          <w:sz w:val="20"/>
          <w:szCs w:val="20"/>
          <w:lang w:eastAsia="en-IE"/>
        </w:rPr>
        <w:t xml:space="preserve"> per cent</w:t>
      </w:r>
      <w:r w:rsidRPr="002951DF">
        <w:rPr>
          <w:rStyle w:val="A5"/>
          <w:rFonts w:ascii="Arial" w:eastAsia="Times New Roman" w:hAnsi="Arial" w:cs="Arial"/>
          <w:sz w:val="20"/>
          <w:szCs w:val="20"/>
          <w:lang w:eastAsia="en-IE"/>
        </w:rPr>
        <w:t xml:space="preserve"> of each Shareholder’s total holding of Ordinary Shares </w:t>
      </w:r>
      <w:r>
        <w:rPr>
          <w:rStyle w:val="A5"/>
          <w:rFonts w:ascii="Arial" w:eastAsia="Times New Roman" w:hAnsi="Arial" w:cs="Arial"/>
          <w:sz w:val="20"/>
          <w:szCs w:val="20"/>
          <w:lang w:eastAsia="en-IE"/>
        </w:rPr>
        <w:t xml:space="preserve">as at the conversion date of </w:t>
      </w:r>
      <w:r w:rsidR="00DC3A97" w:rsidRPr="002951DF">
        <w:rPr>
          <w:rStyle w:val="A5"/>
          <w:rFonts w:ascii="Arial" w:eastAsia="Times New Roman" w:hAnsi="Arial" w:cs="Arial"/>
          <w:sz w:val="20"/>
          <w:szCs w:val="20"/>
          <w:lang w:eastAsia="en-IE"/>
        </w:rPr>
        <w:t xml:space="preserve">6:00pm on Thursday, 17 May 2018 </w:t>
      </w:r>
      <w:r>
        <w:rPr>
          <w:rStyle w:val="A5"/>
          <w:rFonts w:ascii="Arial" w:eastAsia="Times New Roman" w:hAnsi="Arial" w:cs="Arial"/>
          <w:sz w:val="20"/>
          <w:szCs w:val="20"/>
          <w:lang w:eastAsia="en-IE"/>
        </w:rPr>
        <w:t>were</w:t>
      </w:r>
      <w:r w:rsidRPr="002951DF">
        <w:rPr>
          <w:rStyle w:val="A5"/>
          <w:rFonts w:ascii="Arial" w:eastAsia="Times New Roman" w:hAnsi="Arial" w:cs="Arial"/>
          <w:sz w:val="20"/>
          <w:szCs w:val="20"/>
          <w:lang w:eastAsia="en-IE"/>
        </w:rPr>
        <w:t xml:space="preserve"> converted into Redeemable Ordinary Shares and redeemed </w:t>
      </w:r>
      <w:r w:rsidR="00DC3A97">
        <w:rPr>
          <w:rStyle w:val="A5"/>
          <w:rFonts w:ascii="Arial" w:eastAsia="Times New Roman" w:hAnsi="Arial" w:cs="Arial"/>
          <w:sz w:val="20"/>
          <w:szCs w:val="20"/>
          <w:lang w:eastAsia="en-IE"/>
        </w:rPr>
        <w:t xml:space="preserve">at </w:t>
      </w:r>
      <w:r w:rsidRPr="002951DF">
        <w:rPr>
          <w:rStyle w:val="A5"/>
          <w:rFonts w:ascii="Arial" w:eastAsia="Times New Roman" w:hAnsi="Arial" w:cs="Arial"/>
          <w:sz w:val="20"/>
          <w:szCs w:val="20"/>
          <w:lang w:eastAsia="en-IE"/>
        </w:rPr>
        <w:t xml:space="preserve">€9.25 per </w:t>
      </w:r>
      <w:r w:rsidR="00DC3A97">
        <w:rPr>
          <w:rStyle w:val="A5"/>
          <w:rFonts w:ascii="Arial" w:eastAsia="Times New Roman" w:hAnsi="Arial" w:cs="Arial"/>
          <w:sz w:val="20"/>
          <w:szCs w:val="20"/>
          <w:lang w:eastAsia="en-IE"/>
        </w:rPr>
        <w:t>share.</w:t>
      </w:r>
    </w:p>
    <w:p w14:paraId="1C49EC74" w14:textId="77777777" w:rsidR="00D373D6" w:rsidRPr="00517381" w:rsidRDefault="00D373D6" w:rsidP="00C97AA6">
      <w:pPr>
        <w:pStyle w:val="Default"/>
        <w:jc w:val="both"/>
        <w:rPr>
          <w:rStyle w:val="A5"/>
          <w:rFonts w:ascii="Arial" w:eastAsia="Times New Roman" w:hAnsi="Arial" w:cs="Arial"/>
          <w:sz w:val="20"/>
          <w:szCs w:val="20"/>
          <w:lang w:eastAsia="en-IE"/>
        </w:rPr>
      </w:pPr>
    </w:p>
    <w:p w14:paraId="0C388E13" w14:textId="559849A0" w:rsidR="006A37AC" w:rsidRPr="00517381" w:rsidRDefault="00517381" w:rsidP="00C97AA6">
      <w:pPr>
        <w:pStyle w:val="Default"/>
        <w:jc w:val="both"/>
        <w:rPr>
          <w:rStyle w:val="A5"/>
          <w:rFonts w:ascii="Arial" w:eastAsia="Times New Roman" w:hAnsi="Arial" w:cs="Arial"/>
          <w:sz w:val="20"/>
          <w:szCs w:val="20"/>
          <w:lang w:eastAsia="en-IE"/>
        </w:rPr>
      </w:pPr>
      <w:r w:rsidRPr="00517381">
        <w:rPr>
          <w:rStyle w:val="A5"/>
          <w:rFonts w:ascii="Arial" w:eastAsia="Times New Roman" w:hAnsi="Arial" w:cs="Arial"/>
          <w:sz w:val="20"/>
          <w:szCs w:val="20"/>
          <w:lang w:eastAsia="en-IE"/>
        </w:rPr>
        <w:t>For shareholders who hold their Ordinary Shares in certificated form, their</w:t>
      </w:r>
      <w:r w:rsidR="006B679A" w:rsidRPr="00517381">
        <w:rPr>
          <w:rStyle w:val="A5"/>
          <w:rFonts w:ascii="Arial" w:eastAsia="Times New Roman" w:hAnsi="Arial" w:cs="Arial"/>
          <w:sz w:val="20"/>
          <w:szCs w:val="20"/>
          <w:lang w:eastAsia="en-IE"/>
        </w:rPr>
        <w:t xml:space="preserve"> Redemption Proceeds will be paid by cheque within fourteen days of the </w:t>
      </w:r>
      <w:r w:rsidR="00536F0D">
        <w:rPr>
          <w:rStyle w:val="A5"/>
          <w:rFonts w:ascii="Arial" w:eastAsia="Times New Roman" w:hAnsi="Arial" w:cs="Arial"/>
          <w:sz w:val="20"/>
          <w:szCs w:val="20"/>
          <w:lang w:eastAsia="en-IE"/>
        </w:rPr>
        <w:t>r</w:t>
      </w:r>
      <w:r w:rsidR="006B679A" w:rsidRPr="00517381">
        <w:rPr>
          <w:rStyle w:val="A5"/>
          <w:rFonts w:ascii="Arial" w:eastAsia="Times New Roman" w:hAnsi="Arial" w:cs="Arial"/>
          <w:sz w:val="20"/>
          <w:szCs w:val="20"/>
          <w:lang w:eastAsia="en-IE"/>
        </w:rPr>
        <w:t xml:space="preserve">edemption </w:t>
      </w:r>
      <w:r w:rsidR="00536F0D">
        <w:rPr>
          <w:rStyle w:val="A5"/>
          <w:rFonts w:ascii="Arial" w:eastAsia="Times New Roman" w:hAnsi="Arial" w:cs="Arial"/>
          <w:sz w:val="20"/>
          <w:szCs w:val="20"/>
          <w:lang w:eastAsia="en-IE"/>
        </w:rPr>
        <w:t>d</w:t>
      </w:r>
      <w:r w:rsidR="006B679A" w:rsidRPr="00517381">
        <w:rPr>
          <w:rStyle w:val="A5"/>
          <w:rFonts w:ascii="Arial" w:eastAsia="Times New Roman" w:hAnsi="Arial" w:cs="Arial"/>
          <w:sz w:val="20"/>
          <w:szCs w:val="20"/>
          <w:lang w:eastAsia="en-IE"/>
        </w:rPr>
        <w:t>ate</w:t>
      </w:r>
      <w:r w:rsidR="00536F0D">
        <w:rPr>
          <w:rStyle w:val="A5"/>
          <w:rFonts w:ascii="Arial" w:eastAsia="Times New Roman" w:hAnsi="Arial" w:cs="Arial"/>
          <w:sz w:val="20"/>
          <w:szCs w:val="20"/>
          <w:lang w:eastAsia="en-IE"/>
        </w:rPr>
        <w:t xml:space="preserve"> of 18 May 2018</w:t>
      </w:r>
      <w:r w:rsidR="006B679A" w:rsidRPr="00517381">
        <w:rPr>
          <w:rStyle w:val="A5"/>
          <w:rFonts w:ascii="Arial" w:eastAsia="Times New Roman" w:hAnsi="Arial" w:cs="Arial"/>
          <w:sz w:val="20"/>
          <w:szCs w:val="20"/>
          <w:lang w:eastAsia="en-IE"/>
        </w:rPr>
        <w:t>.</w:t>
      </w:r>
      <w:r w:rsidRPr="00517381">
        <w:rPr>
          <w:rStyle w:val="A5"/>
          <w:rFonts w:ascii="Arial" w:eastAsia="Times New Roman" w:hAnsi="Arial" w:cs="Arial"/>
          <w:sz w:val="20"/>
          <w:szCs w:val="20"/>
          <w:lang w:eastAsia="en-IE"/>
        </w:rPr>
        <w:t xml:space="preserve">  For those shareholders who hold their Ordinary Shares in CREST, their Redemption Proceeds will be paid via CREST within fourteen days of the </w:t>
      </w:r>
      <w:r w:rsidR="00536F0D">
        <w:rPr>
          <w:rStyle w:val="A5"/>
          <w:rFonts w:ascii="Arial" w:eastAsia="Times New Roman" w:hAnsi="Arial" w:cs="Arial"/>
          <w:sz w:val="20"/>
          <w:szCs w:val="20"/>
          <w:lang w:eastAsia="en-IE"/>
        </w:rPr>
        <w:t>r</w:t>
      </w:r>
      <w:r w:rsidRPr="00517381">
        <w:rPr>
          <w:rStyle w:val="A5"/>
          <w:rFonts w:ascii="Arial" w:eastAsia="Times New Roman" w:hAnsi="Arial" w:cs="Arial"/>
          <w:sz w:val="20"/>
          <w:szCs w:val="20"/>
          <w:lang w:eastAsia="en-IE"/>
        </w:rPr>
        <w:t xml:space="preserve">edemption </w:t>
      </w:r>
      <w:r w:rsidR="00536F0D">
        <w:rPr>
          <w:rStyle w:val="A5"/>
          <w:rFonts w:ascii="Arial" w:eastAsia="Times New Roman" w:hAnsi="Arial" w:cs="Arial"/>
          <w:sz w:val="20"/>
          <w:szCs w:val="20"/>
          <w:lang w:eastAsia="en-IE"/>
        </w:rPr>
        <w:t>d</w:t>
      </w:r>
      <w:r w:rsidRPr="00517381">
        <w:rPr>
          <w:rStyle w:val="A5"/>
          <w:rFonts w:ascii="Arial" w:eastAsia="Times New Roman" w:hAnsi="Arial" w:cs="Arial"/>
          <w:sz w:val="20"/>
          <w:szCs w:val="20"/>
          <w:lang w:eastAsia="en-IE"/>
        </w:rPr>
        <w:t>ate</w:t>
      </w:r>
      <w:r w:rsidR="00536F0D">
        <w:rPr>
          <w:rStyle w:val="A5"/>
          <w:rFonts w:ascii="Arial" w:eastAsia="Times New Roman" w:hAnsi="Arial" w:cs="Arial"/>
          <w:sz w:val="20"/>
          <w:szCs w:val="20"/>
          <w:lang w:eastAsia="en-IE"/>
        </w:rPr>
        <w:t xml:space="preserve"> of 18 May 2018</w:t>
      </w:r>
      <w:r>
        <w:rPr>
          <w:rStyle w:val="A5"/>
          <w:rFonts w:ascii="Arial" w:eastAsia="Times New Roman" w:hAnsi="Arial" w:cs="Arial"/>
          <w:sz w:val="20"/>
          <w:szCs w:val="20"/>
          <w:lang w:eastAsia="en-IE"/>
        </w:rPr>
        <w:t>.</w:t>
      </w:r>
    </w:p>
    <w:p w14:paraId="70AF1D0E" w14:textId="77777777" w:rsidR="006B679A" w:rsidRPr="00517381" w:rsidRDefault="006B679A" w:rsidP="00C97AA6">
      <w:pPr>
        <w:pStyle w:val="Default"/>
        <w:jc w:val="both"/>
        <w:rPr>
          <w:rStyle w:val="A5"/>
          <w:rFonts w:ascii="Arial" w:eastAsia="Times New Roman" w:hAnsi="Arial" w:cs="Arial"/>
          <w:sz w:val="20"/>
          <w:szCs w:val="20"/>
          <w:lang w:eastAsia="en-IE"/>
        </w:rPr>
      </w:pPr>
    </w:p>
    <w:p w14:paraId="08FA9E19" w14:textId="29D0FD16" w:rsidR="00517381" w:rsidRPr="00517381" w:rsidRDefault="00517381" w:rsidP="00C97AA6">
      <w:pPr>
        <w:pStyle w:val="Default"/>
        <w:jc w:val="both"/>
        <w:rPr>
          <w:rStyle w:val="A5"/>
          <w:rFonts w:ascii="Arial" w:eastAsia="Times New Roman" w:hAnsi="Arial" w:cs="Arial"/>
          <w:sz w:val="20"/>
          <w:szCs w:val="20"/>
          <w:lang w:eastAsia="en-IE"/>
        </w:rPr>
      </w:pPr>
      <w:r w:rsidRPr="00517381">
        <w:rPr>
          <w:rStyle w:val="A5"/>
          <w:rFonts w:ascii="Arial" w:eastAsia="Times New Roman" w:hAnsi="Arial" w:cs="Arial"/>
          <w:sz w:val="20"/>
          <w:szCs w:val="20"/>
          <w:lang w:eastAsia="en-IE"/>
        </w:rPr>
        <w:t xml:space="preserve">New share certificates will </w:t>
      </w:r>
      <w:r>
        <w:rPr>
          <w:rStyle w:val="A5"/>
          <w:rFonts w:ascii="Arial" w:eastAsia="Times New Roman" w:hAnsi="Arial" w:cs="Arial"/>
          <w:sz w:val="20"/>
          <w:szCs w:val="20"/>
          <w:lang w:eastAsia="en-IE"/>
        </w:rPr>
        <w:t xml:space="preserve">be </w:t>
      </w:r>
      <w:r w:rsidRPr="00517381">
        <w:rPr>
          <w:rStyle w:val="A5"/>
          <w:rFonts w:ascii="Arial" w:eastAsia="Times New Roman" w:hAnsi="Arial" w:cs="Arial"/>
          <w:sz w:val="20"/>
          <w:szCs w:val="20"/>
          <w:lang w:eastAsia="en-IE"/>
        </w:rPr>
        <w:t>issue</w:t>
      </w:r>
      <w:r>
        <w:rPr>
          <w:rStyle w:val="A5"/>
          <w:rFonts w:ascii="Arial" w:eastAsia="Times New Roman" w:hAnsi="Arial" w:cs="Arial"/>
          <w:sz w:val="20"/>
          <w:szCs w:val="20"/>
          <w:lang w:eastAsia="en-IE"/>
        </w:rPr>
        <w:t>d</w:t>
      </w:r>
      <w:r w:rsidRPr="00517381">
        <w:rPr>
          <w:rStyle w:val="A5"/>
          <w:rFonts w:ascii="Arial" w:eastAsia="Times New Roman" w:hAnsi="Arial" w:cs="Arial"/>
          <w:sz w:val="20"/>
          <w:szCs w:val="20"/>
          <w:lang w:eastAsia="en-IE"/>
        </w:rPr>
        <w:t xml:space="preserve"> to all certificated </w:t>
      </w:r>
      <w:r w:rsidR="00536F0D">
        <w:rPr>
          <w:rStyle w:val="A5"/>
          <w:rFonts w:ascii="Arial" w:eastAsia="Times New Roman" w:hAnsi="Arial" w:cs="Arial"/>
          <w:sz w:val="20"/>
          <w:szCs w:val="20"/>
          <w:lang w:eastAsia="en-IE"/>
        </w:rPr>
        <w:t>s</w:t>
      </w:r>
      <w:r w:rsidRPr="00517381">
        <w:rPr>
          <w:rStyle w:val="A5"/>
          <w:rFonts w:ascii="Arial" w:eastAsia="Times New Roman" w:hAnsi="Arial" w:cs="Arial"/>
          <w:sz w:val="20"/>
          <w:szCs w:val="20"/>
          <w:lang w:eastAsia="en-IE"/>
        </w:rPr>
        <w:t xml:space="preserve">hareholders to reflect </w:t>
      </w:r>
      <w:r w:rsidR="003608B8">
        <w:rPr>
          <w:rStyle w:val="A5"/>
          <w:rFonts w:ascii="Arial" w:eastAsia="Times New Roman" w:hAnsi="Arial" w:cs="Arial"/>
          <w:sz w:val="20"/>
          <w:szCs w:val="20"/>
          <w:lang w:eastAsia="en-IE"/>
        </w:rPr>
        <w:t>their new number of Ordinary Shares post the Conversion and Redemption.</w:t>
      </w:r>
      <w:r w:rsidRPr="00517381">
        <w:rPr>
          <w:rStyle w:val="A5"/>
          <w:rFonts w:ascii="Arial" w:eastAsia="Times New Roman" w:hAnsi="Arial" w:cs="Arial"/>
          <w:sz w:val="20"/>
          <w:szCs w:val="20"/>
          <w:lang w:eastAsia="en-IE"/>
        </w:rPr>
        <w:t xml:space="preserve">  Share certificates issued prior to the Redemption will cease to be of value.  </w:t>
      </w:r>
    </w:p>
    <w:p w14:paraId="118FC9E0" w14:textId="77777777" w:rsidR="00517381" w:rsidRPr="00517381" w:rsidRDefault="00517381" w:rsidP="00C97AA6">
      <w:pPr>
        <w:pStyle w:val="Default"/>
        <w:jc w:val="both"/>
        <w:rPr>
          <w:rStyle w:val="A5"/>
          <w:rFonts w:ascii="Arial" w:eastAsia="Times New Roman" w:hAnsi="Arial" w:cs="Arial"/>
          <w:sz w:val="20"/>
          <w:szCs w:val="20"/>
          <w:lang w:eastAsia="en-IE"/>
        </w:rPr>
      </w:pPr>
    </w:p>
    <w:p w14:paraId="544050F8" w14:textId="3531B80A" w:rsidR="006B679A" w:rsidRPr="00517381" w:rsidRDefault="00517381" w:rsidP="00C97AA6">
      <w:pPr>
        <w:pStyle w:val="Default"/>
        <w:jc w:val="both"/>
        <w:rPr>
          <w:rStyle w:val="A5"/>
          <w:rFonts w:ascii="Arial" w:eastAsia="Times New Roman" w:hAnsi="Arial" w:cs="Arial"/>
          <w:sz w:val="20"/>
          <w:szCs w:val="20"/>
          <w:lang w:eastAsia="en-IE"/>
        </w:rPr>
      </w:pPr>
      <w:r w:rsidRPr="00517381">
        <w:rPr>
          <w:rStyle w:val="A5"/>
          <w:rFonts w:ascii="Arial" w:eastAsia="Times New Roman" w:hAnsi="Arial" w:cs="Arial"/>
          <w:sz w:val="20"/>
          <w:szCs w:val="20"/>
          <w:lang w:eastAsia="en-IE"/>
        </w:rPr>
        <w:t xml:space="preserve">For those shareholders who hold their </w:t>
      </w:r>
      <w:r w:rsidR="003608B8">
        <w:rPr>
          <w:rStyle w:val="A5"/>
          <w:rFonts w:ascii="Arial" w:eastAsia="Times New Roman" w:hAnsi="Arial" w:cs="Arial"/>
          <w:sz w:val="20"/>
          <w:szCs w:val="20"/>
          <w:lang w:eastAsia="en-IE"/>
        </w:rPr>
        <w:t>Ordinary S</w:t>
      </w:r>
      <w:r w:rsidRPr="00517381">
        <w:rPr>
          <w:rStyle w:val="A5"/>
          <w:rFonts w:ascii="Arial" w:eastAsia="Times New Roman" w:hAnsi="Arial" w:cs="Arial"/>
          <w:sz w:val="20"/>
          <w:szCs w:val="20"/>
          <w:lang w:eastAsia="en-IE"/>
        </w:rPr>
        <w:t xml:space="preserve">hares in CREST </w:t>
      </w:r>
      <w:r w:rsidR="003608B8">
        <w:rPr>
          <w:rStyle w:val="A5"/>
          <w:rFonts w:ascii="Arial" w:eastAsia="Times New Roman" w:hAnsi="Arial" w:cs="Arial"/>
          <w:sz w:val="20"/>
          <w:szCs w:val="20"/>
          <w:lang w:eastAsia="en-IE"/>
        </w:rPr>
        <w:t>their</w:t>
      </w:r>
      <w:r w:rsidR="003608B8" w:rsidRPr="00517381">
        <w:rPr>
          <w:rStyle w:val="A5"/>
          <w:rFonts w:ascii="Arial" w:eastAsia="Times New Roman" w:hAnsi="Arial" w:cs="Arial"/>
          <w:sz w:val="20"/>
          <w:szCs w:val="20"/>
          <w:lang w:eastAsia="en-IE"/>
        </w:rPr>
        <w:t xml:space="preserve"> </w:t>
      </w:r>
      <w:r w:rsidRPr="00517381">
        <w:rPr>
          <w:rStyle w:val="A5"/>
          <w:rFonts w:ascii="Arial" w:eastAsia="Times New Roman" w:hAnsi="Arial" w:cs="Arial"/>
          <w:sz w:val="20"/>
          <w:szCs w:val="20"/>
          <w:lang w:eastAsia="en-IE"/>
        </w:rPr>
        <w:t xml:space="preserve">remaining Ordinary Shares post </w:t>
      </w:r>
      <w:r w:rsidR="00536F0D">
        <w:rPr>
          <w:rStyle w:val="A5"/>
          <w:rFonts w:ascii="Arial" w:eastAsia="Times New Roman" w:hAnsi="Arial" w:cs="Arial"/>
          <w:sz w:val="20"/>
          <w:szCs w:val="20"/>
          <w:lang w:eastAsia="en-IE"/>
        </w:rPr>
        <w:t xml:space="preserve">the </w:t>
      </w:r>
      <w:r w:rsidRPr="00517381">
        <w:rPr>
          <w:rStyle w:val="A5"/>
          <w:rFonts w:ascii="Arial" w:eastAsia="Times New Roman" w:hAnsi="Arial" w:cs="Arial"/>
          <w:sz w:val="20"/>
          <w:szCs w:val="20"/>
          <w:lang w:eastAsia="en-IE"/>
        </w:rPr>
        <w:t>Conversion and Redemption will be issued under the new ISIN IE00BD97C178.</w:t>
      </w:r>
    </w:p>
    <w:p w14:paraId="426F1595" w14:textId="77777777" w:rsidR="00517381" w:rsidRPr="00517381" w:rsidRDefault="00517381" w:rsidP="00C97AA6">
      <w:pPr>
        <w:pStyle w:val="Default"/>
        <w:jc w:val="both"/>
        <w:rPr>
          <w:rStyle w:val="A5"/>
          <w:rFonts w:ascii="Arial" w:eastAsia="Times New Roman" w:hAnsi="Arial" w:cs="Arial"/>
          <w:sz w:val="20"/>
          <w:szCs w:val="20"/>
          <w:lang w:eastAsia="en-IE"/>
        </w:rPr>
      </w:pPr>
    </w:p>
    <w:p w14:paraId="3A9BC6A7" w14:textId="412D80FF" w:rsidR="00517381" w:rsidRPr="00517381" w:rsidRDefault="00517381" w:rsidP="00517381">
      <w:pPr>
        <w:pStyle w:val="Default"/>
        <w:jc w:val="both"/>
        <w:rPr>
          <w:rStyle w:val="A5"/>
          <w:rFonts w:ascii="Arial" w:eastAsia="Times New Roman" w:hAnsi="Arial" w:cs="Arial"/>
          <w:sz w:val="20"/>
          <w:szCs w:val="20"/>
          <w:lang w:eastAsia="en-IE"/>
        </w:rPr>
      </w:pPr>
      <w:r w:rsidRPr="00517381">
        <w:rPr>
          <w:rStyle w:val="A5"/>
          <w:rFonts w:ascii="Arial" w:eastAsia="Times New Roman" w:hAnsi="Arial" w:cs="Arial"/>
          <w:sz w:val="20"/>
          <w:szCs w:val="20"/>
          <w:lang w:eastAsia="en-IE"/>
        </w:rPr>
        <w:t xml:space="preserve">Following the Return of Capital the Company’s </w:t>
      </w:r>
      <w:r w:rsidR="00536F0D">
        <w:rPr>
          <w:rStyle w:val="A5"/>
          <w:rFonts w:ascii="Arial" w:eastAsia="Times New Roman" w:hAnsi="Arial" w:cs="Arial"/>
          <w:sz w:val="20"/>
          <w:szCs w:val="20"/>
          <w:lang w:eastAsia="en-IE"/>
        </w:rPr>
        <w:t>i</w:t>
      </w:r>
      <w:r w:rsidRPr="00517381">
        <w:rPr>
          <w:rStyle w:val="A5"/>
          <w:rFonts w:ascii="Arial" w:eastAsia="Times New Roman" w:hAnsi="Arial" w:cs="Arial"/>
          <w:sz w:val="20"/>
          <w:szCs w:val="20"/>
          <w:lang w:eastAsia="en-IE"/>
        </w:rPr>
        <w:t xml:space="preserve">ssued Ordinary Share Capital is </w:t>
      </w:r>
      <w:r w:rsidR="007662F7">
        <w:rPr>
          <w:rStyle w:val="A5"/>
          <w:rFonts w:ascii="Arial" w:eastAsia="Times New Roman" w:hAnsi="Arial" w:cs="Arial"/>
          <w:sz w:val="20"/>
          <w:szCs w:val="20"/>
          <w:lang w:eastAsia="en-IE"/>
        </w:rPr>
        <w:t>5,425,25</w:t>
      </w:r>
      <w:r w:rsidR="0069144D">
        <w:rPr>
          <w:rStyle w:val="A5"/>
          <w:rFonts w:ascii="Arial" w:eastAsia="Times New Roman" w:hAnsi="Arial" w:cs="Arial"/>
          <w:sz w:val="20"/>
          <w:szCs w:val="20"/>
          <w:lang w:eastAsia="en-IE"/>
        </w:rPr>
        <w:t>4</w:t>
      </w:r>
      <w:r w:rsidR="007662F7" w:rsidRPr="00517381">
        <w:rPr>
          <w:rStyle w:val="A5"/>
          <w:rFonts w:ascii="Arial" w:eastAsia="Times New Roman" w:hAnsi="Arial" w:cs="Arial"/>
          <w:sz w:val="20"/>
          <w:szCs w:val="20"/>
          <w:lang w:eastAsia="en-IE"/>
        </w:rPr>
        <w:t xml:space="preserve"> </w:t>
      </w:r>
      <w:r w:rsidRPr="00517381">
        <w:rPr>
          <w:rStyle w:val="A5"/>
          <w:rFonts w:ascii="Arial" w:eastAsia="Times New Roman" w:hAnsi="Arial" w:cs="Arial"/>
          <w:sz w:val="20"/>
          <w:szCs w:val="20"/>
          <w:lang w:eastAsia="en-IE"/>
        </w:rPr>
        <w:t xml:space="preserve">Ordinary Shares with </w:t>
      </w:r>
      <w:r w:rsidR="007662F7">
        <w:rPr>
          <w:rStyle w:val="A5"/>
          <w:rFonts w:ascii="Arial" w:eastAsia="Times New Roman" w:hAnsi="Arial" w:cs="Arial"/>
          <w:sz w:val="20"/>
          <w:szCs w:val="20"/>
          <w:lang w:eastAsia="en-IE"/>
        </w:rPr>
        <w:t>1,237,331</w:t>
      </w:r>
      <w:r w:rsidR="007662F7" w:rsidRPr="00517381">
        <w:rPr>
          <w:rStyle w:val="A5"/>
          <w:rFonts w:ascii="Arial" w:eastAsia="Times New Roman" w:hAnsi="Arial" w:cs="Arial"/>
          <w:sz w:val="20"/>
          <w:szCs w:val="20"/>
          <w:lang w:eastAsia="en-IE"/>
        </w:rPr>
        <w:t xml:space="preserve"> </w:t>
      </w:r>
      <w:r w:rsidRPr="00517381">
        <w:rPr>
          <w:rStyle w:val="A5"/>
          <w:rFonts w:ascii="Arial" w:eastAsia="Times New Roman" w:hAnsi="Arial" w:cs="Arial"/>
          <w:sz w:val="20"/>
          <w:szCs w:val="20"/>
          <w:lang w:eastAsia="en-IE"/>
        </w:rPr>
        <w:t xml:space="preserve">Ordinary Shares </w:t>
      </w:r>
      <w:r w:rsidR="003608B8">
        <w:rPr>
          <w:rStyle w:val="A5"/>
          <w:rFonts w:ascii="Arial" w:eastAsia="Times New Roman" w:hAnsi="Arial" w:cs="Arial"/>
          <w:sz w:val="20"/>
          <w:szCs w:val="20"/>
          <w:lang w:eastAsia="en-IE"/>
        </w:rPr>
        <w:t xml:space="preserve">held as Treasury shares and Ordinary Shares </w:t>
      </w:r>
      <w:r w:rsidRPr="00517381">
        <w:rPr>
          <w:rStyle w:val="A5"/>
          <w:rFonts w:ascii="Arial" w:eastAsia="Times New Roman" w:hAnsi="Arial" w:cs="Arial"/>
          <w:sz w:val="20"/>
          <w:szCs w:val="20"/>
          <w:lang w:eastAsia="en-IE"/>
        </w:rPr>
        <w:t>Outstanding as at the time of this announcement</w:t>
      </w:r>
      <w:r w:rsidR="003608B8">
        <w:rPr>
          <w:rStyle w:val="A5"/>
          <w:rFonts w:ascii="Arial" w:eastAsia="Times New Roman" w:hAnsi="Arial" w:cs="Arial"/>
          <w:sz w:val="20"/>
          <w:szCs w:val="20"/>
          <w:lang w:eastAsia="en-IE"/>
        </w:rPr>
        <w:t xml:space="preserve"> being </w:t>
      </w:r>
      <w:r w:rsidR="007662F7">
        <w:rPr>
          <w:rStyle w:val="A5"/>
          <w:rFonts w:ascii="Arial" w:eastAsia="Times New Roman" w:hAnsi="Arial" w:cs="Arial"/>
          <w:sz w:val="20"/>
          <w:szCs w:val="20"/>
          <w:lang w:eastAsia="en-IE"/>
        </w:rPr>
        <w:t>4,187,92</w:t>
      </w:r>
      <w:r w:rsidR="0069144D">
        <w:rPr>
          <w:rStyle w:val="A5"/>
          <w:rFonts w:ascii="Arial" w:eastAsia="Times New Roman" w:hAnsi="Arial" w:cs="Arial"/>
          <w:sz w:val="20"/>
          <w:szCs w:val="20"/>
          <w:lang w:eastAsia="en-IE"/>
        </w:rPr>
        <w:t>3</w:t>
      </w:r>
      <w:r w:rsidRPr="00517381">
        <w:rPr>
          <w:rStyle w:val="A5"/>
          <w:rFonts w:ascii="Arial" w:eastAsia="Times New Roman" w:hAnsi="Arial" w:cs="Arial"/>
          <w:sz w:val="20"/>
          <w:szCs w:val="20"/>
          <w:lang w:eastAsia="en-IE"/>
        </w:rPr>
        <w:t>.</w:t>
      </w:r>
      <w:r w:rsidR="00375958">
        <w:rPr>
          <w:rStyle w:val="A5"/>
          <w:rFonts w:ascii="Arial" w:eastAsia="Times New Roman" w:hAnsi="Arial" w:cs="Arial"/>
          <w:sz w:val="20"/>
          <w:szCs w:val="20"/>
          <w:lang w:eastAsia="en-IE"/>
        </w:rPr>
        <w:t xml:space="preserve">  Treasury Shares represent 22.8 per cent of the Company’s issued Ordinary Share Capital </w:t>
      </w:r>
      <w:r w:rsidR="006A2ADE">
        <w:rPr>
          <w:rStyle w:val="A5"/>
          <w:rFonts w:ascii="Arial" w:eastAsia="Times New Roman" w:hAnsi="Arial" w:cs="Arial"/>
          <w:sz w:val="20"/>
          <w:szCs w:val="20"/>
          <w:lang w:eastAsia="en-IE"/>
        </w:rPr>
        <w:t xml:space="preserve">post the Conversion and Redemption </w:t>
      </w:r>
      <w:r w:rsidR="00375958">
        <w:rPr>
          <w:rStyle w:val="A5"/>
          <w:rFonts w:ascii="Arial" w:eastAsia="Times New Roman" w:hAnsi="Arial" w:cs="Arial"/>
          <w:sz w:val="20"/>
          <w:szCs w:val="20"/>
          <w:lang w:eastAsia="en-IE"/>
        </w:rPr>
        <w:t>and it is the Board’s intention to cancel an appropriate number of these Treasury Shares.</w:t>
      </w:r>
    </w:p>
    <w:p w14:paraId="0520C020" w14:textId="77777777" w:rsidR="00517381" w:rsidRPr="00074433" w:rsidRDefault="00517381" w:rsidP="00C97AA6">
      <w:pPr>
        <w:pStyle w:val="Default"/>
        <w:jc w:val="both"/>
        <w:rPr>
          <w:rStyle w:val="A5"/>
          <w:rFonts w:ascii="Arial" w:eastAsia="Times New Roman" w:hAnsi="Arial" w:cs="Arial"/>
          <w:sz w:val="20"/>
          <w:szCs w:val="20"/>
          <w:lang w:eastAsia="en-IE"/>
        </w:rPr>
      </w:pPr>
    </w:p>
    <w:p w14:paraId="54773BBA" w14:textId="397EBD43" w:rsidR="003B0BB6" w:rsidRPr="00074433" w:rsidRDefault="003B0BB6" w:rsidP="00C97AA6">
      <w:pPr>
        <w:pStyle w:val="Default"/>
        <w:jc w:val="both"/>
        <w:rPr>
          <w:rStyle w:val="A5"/>
          <w:rFonts w:ascii="Arial" w:eastAsia="Times New Roman" w:hAnsi="Arial" w:cs="Arial"/>
          <w:sz w:val="20"/>
          <w:szCs w:val="20"/>
          <w:lang w:eastAsia="en-IE"/>
        </w:rPr>
      </w:pPr>
      <w:r w:rsidRPr="00074433">
        <w:rPr>
          <w:rStyle w:val="A5"/>
          <w:rFonts w:ascii="Arial" w:eastAsia="Times New Roman" w:hAnsi="Arial" w:cs="Arial"/>
          <w:sz w:val="20"/>
          <w:szCs w:val="20"/>
          <w:lang w:eastAsia="en-IE"/>
        </w:rPr>
        <w:t>Holders of 12</w:t>
      </w:r>
      <w:r w:rsidR="00AC34E4" w:rsidRPr="00074433">
        <w:rPr>
          <w:rStyle w:val="A5"/>
          <w:rFonts w:ascii="Arial" w:eastAsia="Times New Roman" w:hAnsi="Arial" w:cs="Arial"/>
          <w:sz w:val="20"/>
          <w:szCs w:val="20"/>
          <w:lang w:eastAsia="en-IE"/>
        </w:rPr>
        <w:t>0,825</w:t>
      </w:r>
      <w:r w:rsidRPr="00074433">
        <w:rPr>
          <w:rStyle w:val="A5"/>
          <w:rFonts w:ascii="Arial" w:eastAsia="Times New Roman" w:hAnsi="Arial" w:cs="Arial"/>
          <w:sz w:val="20"/>
          <w:szCs w:val="20"/>
          <w:lang w:eastAsia="en-IE"/>
        </w:rPr>
        <w:t xml:space="preserve"> options participated in the Return of Capital.  The options were cash settled by the Company for a total cost of €</w:t>
      </w:r>
      <w:r w:rsidR="00AC34E4" w:rsidRPr="00074433">
        <w:rPr>
          <w:rStyle w:val="A5"/>
          <w:rFonts w:ascii="Arial" w:eastAsia="Times New Roman" w:hAnsi="Arial" w:cs="Arial"/>
          <w:sz w:val="20"/>
          <w:szCs w:val="20"/>
          <w:lang w:eastAsia="en-IE"/>
        </w:rPr>
        <w:t>393,890</w:t>
      </w:r>
      <w:r w:rsidRPr="00074433">
        <w:rPr>
          <w:rStyle w:val="A5"/>
          <w:rFonts w:ascii="Arial" w:eastAsia="Times New Roman" w:hAnsi="Arial" w:cs="Arial"/>
          <w:sz w:val="20"/>
          <w:szCs w:val="20"/>
          <w:lang w:eastAsia="en-IE"/>
        </w:rPr>
        <w:t xml:space="preserve">.  There </w:t>
      </w:r>
      <w:r w:rsidR="00074433" w:rsidRPr="00074433">
        <w:rPr>
          <w:rStyle w:val="A5"/>
          <w:rFonts w:ascii="Arial" w:eastAsia="Times New Roman" w:hAnsi="Arial" w:cs="Arial"/>
          <w:sz w:val="20"/>
          <w:szCs w:val="20"/>
          <w:lang w:eastAsia="en-IE"/>
        </w:rPr>
        <w:t xml:space="preserve">will be </w:t>
      </w:r>
      <w:r w:rsidR="00375958" w:rsidRPr="00676AF4">
        <w:rPr>
          <w:rStyle w:val="A5"/>
          <w:rFonts w:ascii="Arial" w:eastAsia="Times New Roman" w:hAnsi="Arial" w:cs="Arial"/>
          <w:sz w:val="20"/>
          <w:szCs w:val="20"/>
          <w:lang w:eastAsia="en-IE"/>
        </w:rPr>
        <w:t>154,723</w:t>
      </w:r>
      <w:r w:rsidRPr="00074433">
        <w:rPr>
          <w:rStyle w:val="A5"/>
          <w:rFonts w:ascii="Arial" w:eastAsia="Times New Roman" w:hAnsi="Arial" w:cs="Arial"/>
          <w:sz w:val="20"/>
          <w:szCs w:val="20"/>
          <w:lang w:eastAsia="en-IE"/>
        </w:rPr>
        <w:t xml:space="preserve"> options outstanding </w:t>
      </w:r>
      <w:r w:rsidR="00074433" w:rsidRPr="00074433">
        <w:rPr>
          <w:rStyle w:val="A5"/>
          <w:rFonts w:ascii="Arial" w:eastAsia="Times New Roman" w:hAnsi="Arial" w:cs="Arial"/>
          <w:sz w:val="20"/>
          <w:szCs w:val="20"/>
          <w:lang w:eastAsia="en-IE"/>
        </w:rPr>
        <w:t>following the Return of Capital</w:t>
      </w:r>
      <w:r w:rsidRPr="00074433">
        <w:rPr>
          <w:rStyle w:val="A5"/>
          <w:rFonts w:ascii="Arial" w:eastAsia="Times New Roman" w:hAnsi="Arial" w:cs="Arial"/>
          <w:sz w:val="20"/>
          <w:szCs w:val="20"/>
          <w:lang w:eastAsia="en-IE"/>
        </w:rPr>
        <w:t>.</w:t>
      </w:r>
    </w:p>
    <w:p w14:paraId="7D3B3FEF" w14:textId="77777777" w:rsidR="003B0BB6" w:rsidRPr="002951DF" w:rsidRDefault="003B0BB6" w:rsidP="00C97AA6">
      <w:pPr>
        <w:pStyle w:val="Default"/>
        <w:jc w:val="both"/>
        <w:rPr>
          <w:rStyle w:val="A5"/>
          <w:rFonts w:ascii="Arial" w:eastAsia="Times New Roman" w:hAnsi="Arial" w:cs="Arial"/>
          <w:sz w:val="20"/>
          <w:szCs w:val="20"/>
          <w:lang w:eastAsia="en-IE"/>
        </w:rPr>
      </w:pPr>
    </w:p>
    <w:p w14:paraId="6510AD35" w14:textId="77777777" w:rsidR="006B679A" w:rsidRPr="006B679A" w:rsidRDefault="006B679A" w:rsidP="00C97AA6">
      <w:pPr>
        <w:pStyle w:val="Default"/>
        <w:jc w:val="both"/>
        <w:rPr>
          <w:rStyle w:val="A5"/>
          <w:rFonts w:ascii="Arial" w:eastAsia="Times New Roman" w:hAnsi="Arial" w:cs="Arial"/>
          <w:b/>
          <w:sz w:val="20"/>
          <w:szCs w:val="20"/>
          <w:lang w:eastAsia="en-IE"/>
        </w:rPr>
      </w:pPr>
      <w:r w:rsidRPr="006B679A">
        <w:rPr>
          <w:rStyle w:val="A5"/>
          <w:rFonts w:ascii="Arial" w:eastAsia="Times New Roman" w:hAnsi="Arial" w:cs="Arial"/>
          <w:b/>
          <w:sz w:val="20"/>
          <w:szCs w:val="20"/>
          <w:lang w:eastAsia="en-IE"/>
        </w:rPr>
        <w:t>Directors’ Shareholdings</w:t>
      </w:r>
    </w:p>
    <w:p w14:paraId="4BD1ADFC" w14:textId="77777777" w:rsidR="006B679A" w:rsidRPr="006B679A" w:rsidRDefault="006B679A" w:rsidP="00C97AA6">
      <w:pPr>
        <w:pStyle w:val="Default"/>
        <w:jc w:val="both"/>
      </w:pPr>
    </w:p>
    <w:p w14:paraId="460C6D52" w14:textId="77777777" w:rsidR="006B679A" w:rsidRPr="006B679A" w:rsidRDefault="006B679A" w:rsidP="00C97AA6">
      <w:pPr>
        <w:pStyle w:val="Default"/>
        <w:jc w:val="both"/>
      </w:pPr>
      <w:r>
        <w:rPr>
          <w:rFonts w:ascii="Arial" w:hAnsi="Arial" w:cs="Arial"/>
          <w:sz w:val="20"/>
          <w:szCs w:val="20"/>
        </w:rPr>
        <w:t xml:space="preserve">Following the Return of Capital </w:t>
      </w:r>
      <w:r w:rsidR="003608B8">
        <w:rPr>
          <w:rFonts w:ascii="Arial" w:hAnsi="Arial" w:cs="Arial"/>
          <w:sz w:val="20"/>
          <w:szCs w:val="20"/>
        </w:rPr>
        <w:t>t</w:t>
      </w:r>
      <w:r w:rsidRPr="006B679A">
        <w:rPr>
          <w:rFonts w:ascii="Arial" w:hAnsi="Arial" w:cs="Arial"/>
          <w:sz w:val="20"/>
          <w:szCs w:val="20"/>
        </w:rPr>
        <w:t xml:space="preserve">he table below sets out the Directors’ shareholdings </w:t>
      </w:r>
      <w:r>
        <w:rPr>
          <w:rFonts w:ascii="Arial" w:hAnsi="Arial" w:cs="Arial"/>
          <w:sz w:val="20"/>
          <w:szCs w:val="20"/>
        </w:rPr>
        <w:t>as at the time of this announcement</w:t>
      </w:r>
      <w:r w:rsidRPr="006B679A">
        <w:rPr>
          <w:rFonts w:ascii="Arial" w:hAnsi="Arial" w:cs="Arial"/>
          <w:sz w:val="20"/>
          <w:szCs w:val="20"/>
        </w:rPr>
        <w:t>.</w:t>
      </w:r>
    </w:p>
    <w:p w14:paraId="65CAB548" w14:textId="77777777" w:rsidR="006B679A" w:rsidRDefault="006B679A" w:rsidP="00C97AA6">
      <w:pPr>
        <w:pStyle w:val="Default"/>
        <w:jc w:val="both"/>
        <w:rPr>
          <w:rStyle w:val="A5"/>
          <w:rFonts w:ascii="Arial" w:eastAsia="Times New Roman" w:hAnsi="Arial" w:cs="Arial"/>
          <w:sz w:val="20"/>
          <w:szCs w:val="20"/>
          <w:lang w:eastAsia="en-I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559"/>
        <w:gridCol w:w="1418"/>
        <w:gridCol w:w="1559"/>
        <w:gridCol w:w="1559"/>
      </w:tblGrid>
      <w:tr w:rsidR="005A2E0B" w:rsidRPr="002951DF" w14:paraId="0F8D8D0B" w14:textId="77777777" w:rsidTr="00D90662">
        <w:tc>
          <w:tcPr>
            <w:tcW w:w="1555" w:type="dxa"/>
            <w:shd w:val="clear" w:color="auto" w:fill="auto"/>
          </w:tcPr>
          <w:p w14:paraId="2C998AD6" w14:textId="77777777" w:rsidR="005A2E0B" w:rsidRPr="002951DF" w:rsidRDefault="005A2E0B" w:rsidP="005A2E0B">
            <w:pPr>
              <w:spacing w:after="100"/>
              <w:jc w:val="center"/>
              <w:rPr>
                <w:rFonts w:ascii="Arial" w:hAnsi="Arial" w:cs="Arial"/>
                <w:b/>
                <w:sz w:val="16"/>
                <w:szCs w:val="16"/>
              </w:rPr>
            </w:pPr>
            <w:r w:rsidRPr="002951DF">
              <w:rPr>
                <w:rFonts w:ascii="Arial" w:hAnsi="Arial" w:cs="Arial"/>
                <w:b/>
                <w:sz w:val="16"/>
                <w:szCs w:val="16"/>
              </w:rPr>
              <w:lastRenderedPageBreak/>
              <w:t>Director</w:t>
            </w:r>
          </w:p>
        </w:tc>
        <w:tc>
          <w:tcPr>
            <w:tcW w:w="1417" w:type="dxa"/>
            <w:shd w:val="clear" w:color="auto" w:fill="auto"/>
          </w:tcPr>
          <w:p w14:paraId="196FFB00" w14:textId="77777777" w:rsidR="005A2E0B" w:rsidRPr="002951DF" w:rsidRDefault="005A2E0B" w:rsidP="005A2E0B">
            <w:pPr>
              <w:spacing w:after="100"/>
              <w:jc w:val="center"/>
              <w:rPr>
                <w:rFonts w:ascii="Arial" w:hAnsi="Arial" w:cs="Arial"/>
                <w:b/>
                <w:sz w:val="16"/>
                <w:szCs w:val="16"/>
              </w:rPr>
            </w:pPr>
            <w:r w:rsidRPr="002951DF">
              <w:rPr>
                <w:rFonts w:ascii="Arial" w:hAnsi="Arial" w:cs="Arial"/>
                <w:b/>
                <w:sz w:val="16"/>
                <w:szCs w:val="16"/>
              </w:rPr>
              <w:t>Ordinary Shares per EGM Circular</w:t>
            </w:r>
          </w:p>
        </w:tc>
        <w:tc>
          <w:tcPr>
            <w:tcW w:w="1559" w:type="dxa"/>
            <w:shd w:val="clear" w:color="auto" w:fill="auto"/>
          </w:tcPr>
          <w:p w14:paraId="77FCFEDF" w14:textId="3F672F35" w:rsidR="005A2E0B" w:rsidRPr="002951DF" w:rsidRDefault="005A2E0B" w:rsidP="005A2E0B">
            <w:pPr>
              <w:spacing w:after="100"/>
              <w:jc w:val="center"/>
              <w:rPr>
                <w:rFonts w:ascii="Arial" w:hAnsi="Arial" w:cs="Arial"/>
                <w:b/>
                <w:sz w:val="16"/>
                <w:szCs w:val="16"/>
              </w:rPr>
            </w:pPr>
            <w:r w:rsidRPr="002951DF">
              <w:rPr>
                <w:rFonts w:ascii="Arial" w:hAnsi="Arial" w:cs="Arial"/>
                <w:b/>
                <w:sz w:val="16"/>
                <w:szCs w:val="16"/>
              </w:rPr>
              <w:t>% Ordinary Shares Outstanding per EGM Circular</w:t>
            </w:r>
            <w:r w:rsidR="002D0D7B" w:rsidRPr="002951DF">
              <w:rPr>
                <w:rFonts w:ascii="Arial" w:hAnsi="Arial" w:cs="Arial"/>
                <w:b/>
                <w:sz w:val="16"/>
                <w:szCs w:val="16"/>
                <w:vertAlign w:val="superscript"/>
              </w:rPr>
              <w:t>2</w:t>
            </w:r>
          </w:p>
        </w:tc>
        <w:tc>
          <w:tcPr>
            <w:tcW w:w="1418" w:type="dxa"/>
            <w:shd w:val="clear" w:color="auto" w:fill="auto"/>
          </w:tcPr>
          <w:p w14:paraId="3FCAA2FA" w14:textId="77777777" w:rsidR="005A2E0B" w:rsidRPr="002951DF" w:rsidRDefault="005A2E0B" w:rsidP="005A2E0B">
            <w:pPr>
              <w:spacing w:after="100"/>
              <w:jc w:val="center"/>
              <w:rPr>
                <w:rFonts w:ascii="Arial" w:hAnsi="Arial" w:cs="Arial"/>
                <w:b/>
                <w:sz w:val="16"/>
                <w:szCs w:val="16"/>
              </w:rPr>
            </w:pPr>
            <w:r w:rsidRPr="002951DF">
              <w:rPr>
                <w:rFonts w:ascii="Arial" w:hAnsi="Arial" w:cs="Arial"/>
                <w:b/>
                <w:sz w:val="16"/>
                <w:szCs w:val="16"/>
              </w:rPr>
              <w:t>Ordinary Shares as at Conversion Date</w:t>
            </w:r>
          </w:p>
        </w:tc>
        <w:tc>
          <w:tcPr>
            <w:tcW w:w="1559" w:type="dxa"/>
          </w:tcPr>
          <w:p w14:paraId="5BDB354C" w14:textId="77777777" w:rsidR="005A2E0B" w:rsidRPr="002951DF" w:rsidRDefault="005A2E0B" w:rsidP="00D90662">
            <w:pPr>
              <w:spacing w:after="100"/>
              <w:jc w:val="center"/>
              <w:rPr>
                <w:rFonts w:ascii="Arial" w:hAnsi="Arial" w:cs="Arial"/>
                <w:b/>
                <w:sz w:val="16"/>
                <w:szCs w:val="16"/>
              </w:rPr>
            </w:pPr>
            <w:r w:rsidRPr="002951DF">
              <w:rPr>
                <w:rFonts w:ascii="Arial" w:hAnsi="Arial" w:cs="Arial"/>
                <w:b/>
                <w:sz w:val="16"/>
                <w:szCs w:val="16"/>
              </w:rPr>
              <w:t xml:space="preserve">Ordinary Shares </w:t>
            </w:r>
            <w:r w:rsidR="00D90662" w:rsidRPr="002951DF">
              <w:rPr>
                <w:rFonts w:ascii="Arial" w:hAnsi="Arial" w:cs="Arial"/>
                <w:b/>
                <w:sz w:val="16"/>
                <w:szCs w:val="16"/>
              </w:rPr>
              <w:t>post Conversion and Redemption</w:t>
            </w:r>
          </w:p>
        </w:tc>
        <w:tc>
          <w:tcPr>
            <w:tcW w:w="1559" w:type="dxa"/>
            <w:shd w:val="clear" w:color="auto" w:fill="auto"/>
          </w:tcPr>
          <w:p w14:paraId="039894B5" w14:textId="611680B0" w:rsidR="005A2E0B" w:rsidRPr="002951DF" w:rsidRDefault="005A2E0B" w:rsidP="005A2E0B">
            <w:pPr>
              <w:spacing w:after="100"/>
              <w:jc w:val="center"/>
              <w:rPr>
                <w:rFonts w:ascii="Arial" w:hAnsi="Arial" w:cs="Arial"/>
                <w:b/>
                <w:sz w:val="16"/>
                <w:szCs w:val="16"/>
              </w:rPr>
            </w:pPr>
            <w:r w:rsidRPr="002951DF">
              <w:rPr>
                <w:rFonts w:ascii="Arial" w:hAnsi="Arial" w:cs="Arial"/>
                <w:b/>
                <w:sz w:val="16"/>
                <w:szCs w:val="16"/>
              </w:rPr>
              <w:t>% Ordinary Shares Outstanding post Redemption</w:t>
            </w:r>
            <w:r w:rsidR="002D0D7B" w:rsidRPr="002951DF">
              <w:rPr>
                <w:rFonts w:ascii="Arial" w:hAnsi="Arial" w:cs="Arial"/>
                <w:b/>
                <w:sz w:val="16"/>
                <w:szCs w:val="16"/>
                <w:vertAlign w:val="superscript"/>
              </w:rPr>
              <w:t>3</w:t>
            </w:r>
          </w:p>
        </w:tc>
      </w:tr>
      <w:tr w:rsidR="00162B27" w:rsidRPr="002951DF" w14:paraId="54ABB454" w14:textId="77777777" w:rsidTr="00D90662">
        <w:tc>
          <w:tcPr>
            <w:tcW w:w="1555" w:type="dxa"/>
            <w:shd w:val="clear" w:color="auto" w:fill="auto"/>
          </w:tcPr>
          <w:p w14:paraId="5965B8F6" w14:textId="77777777" w:rsidR="00162B27" w:rsidRPr="002951DF" w:rsidRDefault="00162B27" w:rsidP="005A2E0B">
            <w:pPr>
              <w:spacing w:after="100"/>
              <w:jc w:val="center"/>
              <w:rPr>
                <w:rFonts w:ascii="Arial" w:hAnsi="Arial" w:cs="Arial"/>
                <w:b/>
                <w:sz w:val="16"/>
                <w:szCs w:val="16"/>
              </w:rPr>
            </w:pPr>
          </w:p>
        </w:tc>
        <w:tc>
          <w:tcPr>
            <w:tcW w:w="1417" w:type="dxa"/>
            <w:shd w:val="clear" w:color="auto" w:fill="auto"/>
          </w:tcPr>
          <w:p w14:paraId="2E75A084" w14:textId="77777777" w:rsidR="00162B27" w:rsidRPr="002951DF" w:rsidRDefault="00162B27" w:rsidP="005A2E0B">
            <w:pPr>
              <w:spacing w:after="100"/>
              <w:jc w:val="center"/>
              <w:rPr>
                <w:rFonts w:ascii="Arial" w:hAnsi="Arial" w:cs="Arial"/>
                <w:b/>
                <w:sz w:val="16"/>
                <w:szCs w:val="16"/>
              </w:rPr>
            </w:pPr>
          </w:p>
        </w:tc>
        <w:tc>
          <w:tcPr>
            <w:tcW w:w="1559" w:type="dxa"/>
            <w:shd w:val="clear" w:color="auto" w:fill="auto"/>
          </w:tcPr>
          <w:p w14:paraId="719BB80C" w14:textId="77777777" w:rsidR="00162B27" w:rsidRPr="002951DF" w:rsidRDefault="00162B27" w:rsidP="005A2E0B">
            <w:pPr>
              <w:spacing w:after="100"/>
              <w:jc w:val="center"/>
              <w:rPr>
                <w:rFonts w:ascii="Arial" w:hAnsi="Arial" w:cs="Arial"/>
                <w:b/>
                <w:sz w:val="16"/>
                <w:szCs w:val="16"/>
              </w:rPr>
            </w:pPr>
          </w:p>
        </w:tc>
        <w:tc>
          <w:tcPr>
            <w:tcW w:w="1418" w:type="dxa"/>
            <w:shd w:val="clear" w:color="auto" w:fill="auto"/>
          </w:tcPr>
          <w:p w14:paraId="7DF0AB3A" w14:textId="77777777" w:rsidR="00162B27" w:rsidRPr="002951DF" w:rsidRDefault="00162B27" w:rsidP="005A2E0B">
            <w:pPr>
              <w:spacing w:after="100"/>
              <w:jc w:val="center"/>
              <w:rPr>
                <w:rFonts w:ascii="Arial" w:hAnsi="Arial" w:cs="Arial"/>
                <w:b/>
                <w:sz w:val="16"/>
                <w:szCs w:val="16"/>
              </w:rPr>
            </w:pPr>
          </w:p>
        </w:tc>
        <w:tc>
          <w:tcPr>
            <w:tcW w:w="1559" w:type="dxa"/>
          </w:tcPr>
          <w:p w14:paraId="14E5CE7A" w14:textId="77777777" w:rsidR="00162B27" w:rsidRPr="002951DF" w:rsidRDefault="00162B27" w:rsidP="00D90662">
            <w:pPr>
              <w:spacing w:after="100"/>
              <w:jc w:val="center"/>
              <w:rPr>
                <w:rFonts w:ascii="Arial" w:hAnsi="Arial" w:cs="Arial"/>
                <w:b/>
                <w:sz w:val="16"/>
                <w:szCs w:val="16"/>
              </w:rPr>
            </w:pPr>
          </w:p>
        </w:tc>
        <w:tc>
          <w:tcPr>
            <w:tcW w:w="1559" w:type="dxa"/>
            <w:shd w:val="clear" w:color="auto" w:fill="auto"/>
          </w:tcPr>
          <w:p w14:paraId="4F2EE248" w14:textId="77777777" w:rsidR="00162B27" w:rsidRPr="002951DF" w:rsidRDefault="00162B27" w:rsidP="005A2E0B">
            <w:pPr>
              <w:spacing w:after="100"/>
              <w:jc w:val="center"/>
              <w:rPr>
                <w:rFonts w:ascii="Arial" w:hAnsi="Arial" w:cs="Arial"/>
                <w:b/>
                <w:sz w:val="16"/>
                <w:szCs w:val="16"/>
              </w:rPr>
            </w:pPr>
          </w:p>
        </w:tc>
      </w:tr>
      <w:tr w:rsidR="005A2E0B" w:rsidRPr="005A2E0B" w14:paraId="70AB5697" w14:textId="77777777" w:rsidTr="00D90662">
        <w:tc>
          <w:tcPr>
            <w:tcW w:w="1555" w:type="dxa"/>
            <w:shd w:val="clear" w:color="auto" w:fill="auto"/>
          </w:tcPr>
          <w:p w14:paraId="446895B2"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Geoffrey Vance</w:t>
            </w:r>
            <w:r w:rsidR="00D90662" w:rsidRPr="00D90662">
              <w:rPr>
                <w:rFonts w:ascii="Arial" w:hAnsi="Arial" w:cs="Arial"/>
                <w:sz w:val="16"/>
                <w:szCs w:val="16"/>
                <w:vertAlign w:val="superscript"/>
              </w:rPr>
              <w:t>1</w:t>
            </w:r>
          </w:p>
        </w:tc>
        <w:tc>
          <w:tcPr>
            <w:tcW w:w="1417" w:type="dxa"/>
            <w:shd w:val="clear" w:color="auto" w:fill="auto"/>
            <w:vAlign w:val="center"/>
          </w:tcPr>
          <w:p w14:paraId="7B439811"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187,889</w:t>
            </w:r>
          </w:p>
        </w:tc>
        <w:tc>
          <w:tcPr>
            <w:tcW w:w="1559" w:type="dxa"/>
            <w:shd w:val="clear" w:color="auto" w:fill="auto"/>
            <w:vAlign w:val="center"/>
          </w:tcPr>
          <w:p w14:paraId="6B2DAC2D"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1.97</w:t>
            </w:r>
          </w:p>
        </w:tc>
        <w:tc>
          <w:tcPr>
            <w:tcW w:w="1418" w:type="dxa"/>
            <w:shd w:val="clear" w:color="auto" w:fill="auto"/>
          </w:tcPr>
          <w:p w14:paraId="523318AE" w14:textId="3DD5DEDF" w:rsidR="005A2E0B" w:rsidRPr="005A2E0B" w:rsidRDefault="007662F7" w:rsidP="005A2E0B">
            <w:pPr>
              <w:adjustRightInd w:val="0"/>
              <w:jc w:val="right"/>
              <w:rPr>
                <w:rFonts w:ascii="Arial" w:hAnsi="Arial" w:cs="Arial"/>
                <w:sz w:val="16"/>
                <w:szCs w:val="16"/>
              </w:rPr>
            </w:pPr>
            <w:r>
              <w:rPr>
                <w:rFonts w:ascii="Arial" w:eastAsia="Times New Roman" w:hAnsi="Arial" w:cs="Arial"/>
                <w:bCs/>
                <w:sz w:val="16"/>
                <w:szCs w:val="16"/>
                <w:lang w:eastAsia="en-IE"/>
              </w:rPr>
              <w:t>191,489</w:t>
            </w:r>
          </w:p>
        </w:tc>
        <w:tc>
          <w:tcPr>
            <w:tcW w:w="1559" w:type="dxa"/>
          </w:tcPr>
          <w:p w14:paraId="0D46BF6E" w14:textId="77692447"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88,611</w:t>
            </w:r>
          </w:p>
        </w:tc>
        <w:tc>
          <w:tcPr>
            <w:tcW w:w="1559" w:type="dxa"/>
            <w:shd w:val="clear" w:color="auto" w:fill="auto"/>
            <w:vAlign w:val="center"/>
          </w:tcPr>
          <w:p w14:paraId="6E2A87DF" w14:textId="50D3EFDF"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2.12</w:t>
            </w:r>
          </w:p>
        </w:tc>
      </w:tr>
      <w:tr w:rsidR="005A2E0B" w:rsidRPr="005A2E0B" w14:paraId="7A40A5CB" w14:textId="77777777" w:rsidTr="00D90662">
        <w:tc>
          <w:tcPr>
            <w:tcW w:w="1555" w:type="dxa"/>
            <w:shd w:val="clear" w:color="auto" w:fill="auto"/>
          </w:tcPr>
          <w:p w14:paraId="7825E44D"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Ian Ireland</w:t>
            </w:r>
          </w:p>
        </w:tc>
        <w:tc>
          <w:tcPr>
            <w:tcW w:w="1417" w:type="dxa"/>
            <w:shd w:val="clear" w:color="auto" w:fill="auto"/>
            <w:vAlign w:val="center"/>
          </w:tcPr>
          <w:p w14:paraId="60B44B24" w14:textId="462AFFC1" w:rsidR="005A2E0B" w:rsidRPr="005A2E0B" w:rsidRDefault="003A0362" w:rsidP="00955AE4">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181,774</w:t>
            </w:r>
          </w:p>
        </w:tc>
        <w:tc>
          <w:tcPr>
            <w:tcW w:w="1559" w:type="dxa"/>
            <w:shd w:val="clear" w:color="auto" w:fill="auto"/>
            <w:vAlign w:val="center"/>
          </w:tcPr>
          <w:p w14:paraId="7FB396F1"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1.90</w:t>
            </w:r>
          </w:p>
        </w:tc>
        <w:tc>
          <w:tcPr>
            <w:tcW w:w="1418" w:type="dxa"/>
            <w:shd w:val="clear" w:color="auto" w:fill="auto"/>
          </w:tcPr>
          <w:p w14:paraId="27B286DA" w14:textId="17AE9AB7" w:rsidR="005A2E0B" w:rsidRPr="005A2E0B" w:rsidRDefault="00955AE4" w:rsidP="005A2E0B">
            <w:pPr>
              <w:jc w:val="right"/>
              <w:rPr>
                <w:rFonts w:ascii="Arial" w:hAnsi="Arial" w:cs="Arial"/>
                <w:sz w:val="16"/>
                <w:szCs w:val="16"/>
              </w:rPr>
            </w:pPr>
            <w:r>
              <w:rPr>
                <w:rFonts w:ascii="Arial" w:hAnsi="Arial" w:cs="Arial"/>
                <w:sz w:val="16"/>
                <w:szCs w:val="16"/>
              </w:rPr>
              <w:t>181,774</w:t>
            </w:r>
          </w:p>
        </w:tc>
        <w:tc>
          <w:tcPr>
            <w:tcW w:w="1559" w:type="dxa"/>
          </w:tcPr>
          <w:p w14:paraId="06EC10DF" w14:textId="7970AAEE"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84,115</w:t>
            </w:r>
          </w:p>
        </w:tc>
        <w:tc>
          <w:tcPr>
            <w:tcW w:w="1559" w:type="dxa"/>
            <w:shd w:val="clear" w:color="auto" w:fill="auto"/>
            <w:vAlign w:val="center"/>
          </w:tcPr>
          <w:p w14:paraId="294FECEA" w14:textId="3EF3FB8F" w:rsidR="005A2E0B" w:rsidRPr="005A2E0B" w:rsidRDefault="002D0D7B" w:rsidP="008034CE">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2.01</w:t>
            </w:r>
          </w:p>
        </w:tc>
      </w:tr>
      <w:tr w:rsidR="005A2E0B" w:rsidRPr="005A2E0B" w14:paraId="675F5F48" w14:textId="77777777" w:rsidTr="00D90662">
        <w:tc>
          <w:tcPr>
            <w:tcW w:w="1555" w:type="dxa"/>
            <w:shd w:val="clear" w:color="auto" w:fill="auto"/>
          </w:tcPr>
          <w:p w14:paraId="1D256651"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Padraic Lenehan</w:t>
            </w:r>
          </w:p>
        </w:tc>
        <w:tc>
          <w:tcPr>
            <w:tcW w:w="1417" w:type="dxa"/>
            <w:shd w:val="clear" w:color="auto" w:fill="auto"/>
            <w:vAlign w:val="center"/>
          </w:tcPr>
          <w:p w14:paraId="3ED2F7C9"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w:t>
            </w:r>
          </w:p>
        </w:tc>
        <w:tc>
          <w:tcPr>
            <w:tcW w:w="1559" w:type="dxa"/>
            <w:shd w:val="clear" w:color="auto" w:fill="auto"/>
            <w:vAlign w:val="center"/>
          </w:tcPr>
          <w:p w14:paraId="3E78A300"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w:t>
            </w:r>
          </w:p>
        </w:tc>
        <w:tc>
          <w:tcPr>
            <w:tcW w:w="1418" w:type="dxa"/>
            <w:shd w:val="clear" w:color="auto" w:fill="auto"/>
            <w:vAlign w:val="center"/>
          </w:tcPr>
          <w:p w14:paraId="35120DB1"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w:t>
            </w:r>
          </w:p>
        </w:tc>
        <w:tc>
          <w:tcPr>
            <w:tcW w:w="1559" w:type="dxa"/>
          </w:tcPr>
          <w:p w14:paraId="10A41F36" w14:textId="231FA35E" w:rsidR="005A2E0B" w:rsidRPr="005A2E0B" w:rsidRDefault="00011352"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w:t>
            </w:r>
          </w:p>
        </w:tc>
        <w:tc>
          <w:tcPr>
            <w:tcW w:w="1559" w:type="dxa"/>
            <w:shd w:val="clear" w:color="auto" w:fill="auto"/>
            <w:vAlign w:val="center"/>
          </w:tcPr>
          <w:p w14:paraId="034E2147"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w:t>
            </w:r>
          </w:p>
        </w:tc>
      </w:tr>
      <w:tr w:rsidR="005A2E0B" w:rsidRPr="005A2E0B" w14:paraId="50C4F456" w14:textId="77777777" w:rsidTr="00D90662">
        <w:tc>
          <w:tcPr>
            <w:tcW w:w="1555" w:type="dxa"/>
            <w:shd w:val="clear" w:color="auto" w:fill="auto"/>
          </w:tcPr>
          <w:p w14:paraId="50D739BB"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Geoffrey McClay</w:t>
            </w:r>
          </w:p>
        </w:tc>
        <w:tc>
          <w:tcPr>
            <w:tcW w:w="1417" w:type="dxa"/>
            <w:shd w:val="clear" w:color="auto" w:fill="auto"/>
            <w:vAlign w:val="center"/>
          </w:tcPr>
          <w:p w14:paraId="6BCE8CFA"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16,107</w:t>
            </w:r>
          </w:p>
        </w:tc>
        <w:tc>
          <w:tcPr>
            <w:tcW w:w="1559" w:type="dxa"/>
            <w:shd w:val="clear" w:color="auto" w:fill="auto"/>
            <w:vAlign w:val="center"/>
          </w:tcPr>
          <w:p w14:paraId="6E034F0D"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0.17</w:t>
            </w:r>
          </w:p>
        </w:tc>
        <w:tc>
          <w:tcPr>
            <w:tcW w:w="1418" w:type="dxa"/>
            <w:shd w:val="clear" w:color="auto" w:fill="auto"/>
            <w:vAlign w:val="center"/>
          </w:tcPr>
          <w:p w14:paraId="0FFC85DC" w14:textId="310661E2" w:rsidR="005A2E0B" w:rsidRPr="005A2E0B" w:rsidRDefault="00955AE4"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16,107</w:t>
            </w:r>
          </w:p>
        </w:tc>
        <w:tc>
          <w:tcPr>
            <w:tcW w:w="1559" w:type="dxa"/>
          </w:tcPr>
          <w:p w14:paraId="65A7FE32" w14:textId="134F38C4"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7,454</w:t>
            </w:r>
          </w:p>
        </w:tc>
        <w:tc>
          <w:tcPr>
            <w:tcW w:w="1559" w:type="dxa"/>
            <w:shd w:val="clear" w:color="auto" w:fill="auto"/>
            <w:vAlign w:val="center"/>
          </w:tcPr>
          <w:p w14:paraId="78CFA39F" w14:textId="5CE5F923"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0.18</w:t>
            </w:r>
          </w:p>
        </w:tc>
      </w:tr>
      <w:tr w:rsidR="005A2E0B" w:rsidRPr="005A2E0B" w14:paraId="45052A5E" w14:textId="77777777" w:rsidTr="00D90662">
        <w:tc>
          <w:tcPr>
            <w:tcW w:w="1555" w:type="dxa"/>
            <w:shd w:val="clear" w:color="auto" w:fill="auto"/>
          </w:tcPr>
          <w:p w14:paraId="2EDE5E89"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Patrick J Kelly</w:t>
            </w:r>
          </w:p>
        </w:tc>
        <w:tc>
          <w:tcPr>
            <w:tcW w:w="1417" w:type="dxa"/>
            <w:shd w:val="clear" w:color="auto" w:fill="auto"/>
            <w:vAlign w:val="center"/>
          </w:tcPr>
          <w:p w14:paraId="23DD78B3"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4,401</w:t>
            </w:r>
          </w:p>
        </w:tc>
        <w:tc>
          <w:tcPr>
            <w:tcW w:w="1559" w:type="dxa"/>
            <w:shd w:val="clear" w:color="auto" w:fill="auto"/>
            <w:vAlign w:val="center"/>
          </w:tcPr>
          <w:p w14:paraId="026C3715"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0.05</w:t>
            </w:r>
          </w:p>
        </w:tc>
        <w:tc>
          <w:tcPr>
            <w:tcW w:w="1418" w:type="dxa"/>
            <w:shd w:val="clear" w:color="auto" w:fill="auto"/>
            <w:vAlign w:val="center"/>
          </w:tcPr>
          <w:p w14:paraId="0C89E21F" w14:textId="7D938BFA" w:rsidR="005A2E0B" w:rsidRPr="005A2E0B" w:rsidRDefault="00955AE4"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4,401</w:t>
            </w:r>
          </w:p>
        </w:tc>
        <w:tc>
          <w:tcPr>
            <w:tcW w:w="1559" w:type="dxa"/>
          </w:tcPr>
          <w:p w14:paraId="20B4694D" w14:textId="25392BCD"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2,037</w:t>
            </w:r>
          </w:p>
        </w:tc>
        <w:tc>
          <w:tcPr>
            <w:tcW w:w="1559" w:type="dxa"/>
            <w:shd w:val="clear" w:color="auto" w:fill="auto"/>
            <w:vAlign w:val="center"/>
          </w:tcPr>
          <w:p w14:paraId="4438759F" w14:textId="206DF4FA"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0.05</w:t>
            </w:r>
          </w:p>
        </w:tc>
      </w:tr>
      <w:tr w:rsidR="005A2E0B" w:rsidRPr="005A2E0B" w14:paraId="06F41355" w14:textId="77777777" w:rsidTr="00D90662">
        <w:tc>
          <w:tcPr>
            <w:tcW w:w="1555" w:type="dxa"/>
            <w:shd w:val="clear" w:color="auto" w:fill="auto"/>
          </w:tcPr>
          <w:p w14:paraId="723732F5"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Norman Witherow</w:t>
            </w:r>
          </w:p>
        </w:tc>
        <w:tc>
          <w:tcPr>
            <w:tcW w:w="1417" w:type="dxa"/>
            <w:shd w:val="clear" w:color="auto" w:fill="auto"/>
            <w:vAlign w:val="center"/>
          </w:tcPr>
          <w:p w14:paraId="4AAAE6E7"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52,821</w:t>
            </w:r>
          </w:p>
        </w:tc>
        <w:tc>
          <w:tcPr>
            <w:tcW w:w="1559" w:type="dxa"/>
            <w:shd w:val="clear" w:color="auto" w:fill="auto"/>
            <w:vAlign w:val="center"/>
          </w:tcPr>
          <w:p w14:paraId="1968F62D"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0.55</w:t>
            </w:r>
          </w:p>
        </w:tc>
        <w:tc>
          <w:tcPr>
            <w:tcW w:w="1418" w:type="dxa"/>
            <w:shd w:val="clear" w:color="auto" w:fill="auto"/>
            <w:vAlign w:val="center"/>
          </w:tcPr>
          <w:p w14:paraId="6AB8D00C" w14:textId="355BD7BD" w:rsidR="005A2E0B" w:rsidRPr="005A2E0B" w:rsidRDefault="00955AE4"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52,821</w:t>
            </w:r>
          </w:p>
        </w:tc>
        <w:tc>
          <w:tcPr>
            <w:tcW w:w="1559" w:type="dxa"/>
          </w:tcPr>
          <w:p w14:paraId="4F1242F0" w14:textId="6FE2594A"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24,443</w:t>
            </w:r>
          </w:p>
        </w:tc>
        <w:tc>
          <w:tcPr>
            <w:tcW w:w="1559" w:type="dxa"/>
            <w:shd w:val="clear" w:color="auto" w:fill="auto"/>
            <w:vAlign w:val="center"/>
          </w:tcPr>
          <w:p w14:paraId="0A9EBE38" w14:textId="1F703AFD" w:rsidR="005A2E0B" w:rsidRPr="005A2E0B" w:rsidRDefault="005A2E0B" w:rsidP="002D0D7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0.5</w:t>
            </w:r>
            <w:r w:rsidR="002D0D7B">
              <w:rPr>
                <w:rFonts w:ascii="Arial" w:eastAsia="Times New Roman" w:hAnsi="Arial" w:cs="Arial"/>
                <w:bCs/>
                <w:sz w:val="16"/>
                <w:szCs w:val="16"/>
                <w:lang w:eastAsia="en-IE"/>
              </w:rPr>
              <w:t>8</w:t>
            </w:r>
          </w:p>
        </w:tc>
      </w:tr>
      <w:tr w:rsidR="005A2E0B" w:rsidRPr="005A2E0B" w14:paraId="3F97DC66" w14:textId="77777777" w:rsidTr="00D90662">
        <w:tc>
          <w:tcPr>
            <w:tcW w:w="1555" w:type="dxa"/>
            <w:shd w:val="clear" w:color="auto" w:fill="auto"/>
          </w:tcPr>
          <w:p w14:paraId="5C966511"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Michael Griffin</w:t>
            </w:r>
          </w:p>
        </w:tc>
        <w:tc>
          <w:tcPr>
            <w:tcW w:w="1417" w:type="dxa"/>
            <w:shd w:val="clear" w:color="auto" w:fill="auto"/>
            <w:vAlign w:val="center"/>
          </w:tcPr>
          <w:p w14:paraId="10B01811"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25,000</w:t>
            </w:r>
          </w:p>
        </w:tc>
        <w:tc>
          <w:tcPr>
            <w:tcW w:w="1559" w:type="dxa"/>
            <w:shd w:val="clear" w:color="auto" w:fill="auto"/>
            <w:vAlign w:val="center"/>
          </w:tcPr>
          <w:p w14:paraId="4E980450"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0.26</w:t>
            </w:r>
          </w:p>
        </w:tc>
        <w:tc>
          <w:tcPr>
            <w:tcW w:w="1418" w:type="dxa"/>
            <w:shd w:val="clear" w:color="auto" w:fill="auto"/>
            <w:vAlign w:val="center"/>
          </w:tcPr>
          <w:p w14:paraId="38EA5D7C" w14:textId="2F93C0C5" w:rsidR="005A2E0B" w:rsidRPr="005A2E0B" w:rsidRDefault="00955AE4"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25,000</w:t>
            </w:r>
          </w:p>
        </w:tc>
        <w:tc>
          <w:tcPr>
            <w:tcW w:w="1559" w:type="dxa"/>
          </w:tcPr>
          <w:p w14:paraId="12113185" w14:textId="625991B8"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11,569</w:t>
            </w:r>
          </w:p>
        </w:tc>
        <w:tc>
          <w:tcPr>
            <w:tcW w:w="1559" w:type="dxa"/>
            <w:shd w:val="clear" w:color="auto" w:fill="auto"/>
            <w:vAlign w:val="center"/>
          </w:tcPr>
          <w:p w14:paraId="38A57C21" w14:textId="52571CA2" w:rsidR="005A2E0B" w:rsidRPr="005A2E0B" w:rsidRDefault="005A2E0B" w:rsidP="002D0D7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0.2</w:t>
            </w:r>
            <w:r w:rsidR="002D0D7B">
              <w:rPr>
                <w:rFonts w:ascii="Arial" w:eastAsia="Times New Roman" w:hAnsi="Arial" w:cs="Arial"/>
                <w:bCs/>
                <w:sz w:val="16"/>
                <w:szCs w:val="16"/>
                <w:lang w:eastAsia="en-IE"/>
              </w:rPr>
              <w:t>8</w:t>
            </w:r>
          </w:p>
        </w:tc>
      </w:tr>
      <w:tr w:rsidR="005A2E0B" w:rsidRPr="005A2E0B" w14:paraId="2DBE61FA" w14:textId="77777777" w:rsidTr="00D90662">
        <w:tc>
          <w:tcPr>
            <w:tcW w:w="1555" w:type="dxa"/>
            <w:shd w:val="clear" w:color="auto" w:fill="auto"/>
          </w:tcPr>
          <w:p w14:paraId="3FEF09CD"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Frank Browne</w:t>
            </w:r>
          </w:p>
        </w:tc>
        <w:tc>
          <w:tcPr>
            <w:tcW w:w="1417" w:type="dxa"/>
            <w:shd w:val="clear" w:color="auto" w:fill="auto"/>
            <w:vAlign w:val="center"/>
          </w:tcPr>
          <w:p w14:paraId="5057C1A8"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12,067</w:t>
            </w:r>
          </w:p>
        </w:tc>
        <w:tc>
          <w:tcPr>
            <w:tcW w:w="1559" w:type="dxa"/>
            <w:shd w:val="clear" w:color="auto" w:fill="auto"/>
            <w:vAlign w:val="center"/>
          </w:tcPr>
          <w:p w14:paraId="51AD2F1C"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0.13</w:t>
            </w:r>
          </w:p>
        </w:tc>
        <w:tc>
          <w:tcPr>
            <w:tcW w:w="1418" w:type="dxa"/>
            <w:shd w:val="clear" w:color="auto" w:fill="auto"/>
            <w:vAlign w:val="center"/>
          </w:tcPr>
          <w:p w14:paraId="7BF52048" w14:textId="72F24F3C" w:rsidR="005A2E0B" w:rsidRPr="005A2E0B" w:rsidRDefault="00955AE4"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12,067</w:t>
            </w:r>
          </w:p>
        </w:tc>
        <w:tc>
          <w:tcPr>
            <w:tcW w:w="1559" w:type="dxa"/>
          </w:tcPr>
          <w:p w14:paraId="05E46591" w14:textId="032C5E7F"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5,584</w:t>
            </w:r>
          </w:p>
        </w:tc>
        <w:tc>
          <w:tcPr>
            <w:tcW w:w="1559" w:type="dxa"/>
            <w:shd w:val="clear" w:color="auto" w:fill="auto"/>
            <w:vAlign w:val="center"/>
          </w:tcPr>
          <w:p w14:paraId="26192573"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0.13</w:t>
            </w:r>
          </w:p>
        </w:tc>
      </w:tr>
      <w:tr w:rsidR="005A2E0B" w:rsidRPr="005A2E0B" w14:paraId="222AAAF9" w14:textId="77777777" w:rsidTr="00D90662">
        <w:tc>
          <w:tcPr>
            <w:tcW w:w="1555" w:type="dxa"/>
            <w:shd w:val="clear" w:color="auto" w:fill="auto"/>
          </w:tcPr>
          <w:p w14:paraId="7BC18C4F" w14:textId="77777777" w:rsidR="005A2E0B" w:rsidRPr="005A2E0B" w:rsidRDefault="005A2E0B" w:rsidP="00131B81">
            <w:pPr>
              <w:jc w:val="both"/>
              <w:rPr>
                <w:rFonts w:ascii="Arial" w:hAnsi="Arial" w:cs="Arial"/>
                <w:sz w:val="16"/>
                <w:szCs w:val="16"/>
              </w:rPr>
            </w:pPr>
            <w:r w:rsidRPr="005A2E0B">
              <w:rPr>
                <w:rFonts w:ascii="Arial" w:hAnsi="Arial" w:cs="Arial"/>
                <w:sz w:val="16"/>
                <w:szCs w:val="16"/>
              </w:rPr>
              <w:t>Henry McGarvey</w:t>
            </w:r>
          </w:p>
        </w:tc>
        <w:tc>
          <w:tcPr>
            <w:tcW w:w="1417" w:type="dxa"/>
            <w:shd w:val="clear" w:color="auto" w:fill="auto"/>
            <w:vAlign w:val="center"/>
          </w:tcPr>
          <w:p w14:paraId="4B30A065"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10,377</w:t>
            </w:r>
          </w:p>
        </w:tc>
        <w:tc>
          <w:tcPr>
            <w:tcW w:w="1559" w:type="dxa"/>
            <w:shd w:val="clear" w:color="auto" w:fill="auto"/>
            <w:vAlign w:val="center"/>
          </w:tcPr>
          <w:p w14:paraId="23861989"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0.11</w:t>
            </w:r>
          </w:p>
        </w:tc>
        <w:tc>
          <w:tcPr>
            <w:tcW w:w="1418" w:type="dxa"/>
            <w:shd w:val="clear" w:color="auto" w:fill="auto"/>
            <w:vAlign w:val="center"/>
          </w:tcPr>
          <w:p w14:paraId="6A8E6440" w14:textId="54D6AF93" w:rsidR="005A2E0B" w:rsidRPr="005A2E0B" w:rsidRDefault="00955AE4"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10,377</w:t>
            </w:r>
          </w:p>
        </w:tc>
        <w:tc>
          <w:tcPr>
            <w:tcW w:w="1559" w:type="dxa"/>
          </w:tcPr>
          <w:p w14:paraId="73A8D007" w14:textId="08D259E2" w:rsidR="005A2E0B" w:rsidRPr="005A2E0B" w:rsidRDefault="002D0D7B" w:rsidP="005A2E0B">
            <w:pPr>
              <w:adjustRightInd w:val="0"/>
              <w:jc w:val="right"/>
              <w:rPr>
                <w:rFonts w:ascii="Arial" w:eastAsia="Times New Roman" w:hAnsi="Arial" w:cs="Arial"/>
                <w:bCs/>
                <w:sz w:val="16"/>
                <w:szCs w:val="16"/>
                <w:lang w:eastAsia="en-IE"/>
              </w:rPr>
            </w:pPr>
            <w:r>
              <w:rPr>
                <w:rFonts w:ascii="Arial" w:eastAsia="Times New Roman" w:hAnsi="Arial" w:cs="Arial"/>
                <w:bCs/>
                <w:sz w:val="16"/>
                <w:szCs w:val="16"/>
                <w:lang w:eastAsia="en-IE"/>
              </w:rPr>
              <w:t>4,802</w:t>
            </w:r>
          </w:p>
        </w:tc>
        <w:tc>
          <w:tcPr>
            <w:tcW w:w="1559" w:type="dxa"/>
            <w:shd w:val="clear" w:color="auto" w:fill="auto"/>
            <w:vAlign w:val="center"/>
          </w:tcPr>
          <w:p w14:paraId="2E418226" w14:textId="77777777" w:rsidR="005A2E0B" w:rsidRPr="005A2E0B" w:rsidRDefault="005A2E0B" w:rsidP="005A2E0B">
            <w:pPr>
              <w:adjustRightInd w:val="0"/>
              <w:jc w:val="right"/>
              <w:rPr>
                <w:rFonts w:ascii="Arial" w:eastAsia="Times New Roman" w:hAnsi="Arial" w:cs="Arial"/>
                <w:bCs/>
                <w:sz w:val="16"/>
                <w:szCs w:val="16"/>
                <w:lang w:eastAsia="en-IE"/>
              </w:rPr>
            </w:pPr>
            <w:r w:rsidRPr="005A2E0B">
              <w:rPr>
                <w:rFonts w:ascii="Arial" w:eastAsia="Times New Roman" w:hAnsi="Arial" w:cs="Arial"/>
                <w:bCs/>
                <w:sz w:val="16"/>
                <w:szCs w:val="16"/>
                <w:lang w:eastAsia="en-IE"/>
              </w:rPr>
              <w:t>0.11</w:t>
            </w:r>
          </w:p>
        </w:tc>
      </w:tr>
      <w:tr w:rsidR="00162B27" w:rsidRPr="005A2E0B" w14:paraId="7CEF94CC" w14:textId="77777777" w:rsidTr="00D90662">
        <w:tc>
          <w:tcPr>
            <w:tcW w:w="1555" w:type="dxa"/>
            <w:shd w:val="clear" w:color="auto" w:fill="auto"/>
          </w:tcPr>
          <w:p w14:paraId="7848F8F8" w14:textId="77777777" w:rsidR="00162B27" w:rsidRPr="005A2E0B" w:rsidRDefault="00162B27" w:rsidP="00131B81">
            <w:pPr>
              <w:jc w:val="both"/>
              <w:rPr>
                <w:rFonts w:ascii="Arial" w:hAnsi="Arial" w:cs="Arial"/>
                <w:sz w:val="16"/>
                <w:szCs w:val="16"/>
              </w:rPr>
            </w:pPr>
          </w:p>
        </w:tc>
        <w:tc>
          <w:tcPr>
            <w:tcW w:w="1417" w:type="dxa"/>
            <w:shd w:val="clear" w:color="auto" w:fill="auto"/>
            <w:vAlign w:val="center"/>
          </w:tcPr>
          <w:p w14:paraId="22842BD2" w14:textId="77777777" w:rsidR="00162B27" w:rsidRPr="005A2E0B" w:rsidRDefault="00162B27" w:rsidP="005A2E0B">
            <w:pPr>
              <w:adjustRightInd w:val="0"/>
              <w:jc w:val="right"/>
              <w:rPr>
                <w:rFonts w:ascii="Arial" w:eastAsia="Times New Roman" w:hAnsi="Arial" w:cs="Arial"/>
                <w:bCs/>
                <w:sz w:val="16"/>
                <w:szCs w:val="16"/>
                <w:lang w:eastAsia="en-IE"/>
              </w:rPr>
            </w:pPr>
          </w:p>
        </w:tc>
        <w:tc>
          <w:tcPr>
            <w:tcW w:w="1559" w:type="dxa"/>
            <w:shd w:val="clear" w:color="auto" w:fill="auto"/>
            <w:vAlign w:val="center"/>
          </w:tcPr>
          <w:p w14:paraId="4391D627" w14:textId="77777777" w:rsidR="00162B27" w:rsidRPr="005A2E0B" w:rsidRDefault="00162B27" w:rsidP="005A2E0B">
            <w:pPr>
              <w:adjustRightInd w:val="0"/>
              <w:jc w:val="right"/>
              <w:rPr>
                <w:rFonts w:ascii="Arial" w:eastAsia="Times New Roman" w:hAnsi="Arial" w:cs="Arial"/>
                <w:bCs/>
                <w:sz w:val="16"/>
                <w:szCs w:val="16"/>
                <w:lang w:eastAsia="en-IE"/>
              </w:rPr>
            </w:pPr>
          </w:p>
        </w:tc>
        <w:tc>
          <w:tcPr>
            <w:tcW w:w="1418" w:type="dxa"/>
            <w:shd w:val="clear" w:color="auto" w:fill="auto"/>
            <w:vAlign w:val="center"/>
          </w:tcPr>
          <w:p w14:paraId="4CD17F38" w14:textId="77777777" w:rsidR="00162B27" w:rsidRPr="005A2E0B" w:rsidDel="00955AE4" w:rsidRDefault="00162B27" w:rsidP="005A2E0B">
            <w:pPr>
              <w:adjustRightInd w:val="0"/>
              <w:jc w:val="right"/>
              <w:rPr>
                <w:rFonts w:ascii="Arial" w:eastAsia="Times New Roman" w:hAnsi="Arial" w:cs="Arial"/>
                <w:bCs/>
                <w:sz w:val="16"/>
                <w:szCs w:val="16"/>
                <w:lang w:eastAsia="en-IE"/>
              </w:rPr>
            </w:pPr>
          </w:p>
        </w:tc>
        <w:tc>
          <w:tcPr>
            <w:tcW w:w="1559" w:type="dxa"/>
          </w:tcPr>
          <w:p w14:paraId="1C0A5426" w14:textId="77777777" w:rsidR="00162B27" w:rsidRDefault="00162B27" w:rsidP="005A2E0B">
            <w:pPr>
              <w:adjustRightInd w:val="0"/>
              <w:jc w:val="right"/>
              <w:rPr>
                <w:rFonts w:ascii="Arial" w:eastAsia="Times New Roman" w:hAnsi="Arial" w:cs="Arial"/>
                <w:bCs/>
                <w:sz w:val="16"/>
                <w:szCs w:val="16"/>
                <w:lang w:eastAsia="en-IE"/>
              </w:rPr>
            </w:pPr>
          </w:p>
        </w:tc>
        <w:tc>
          <w:tcPr>
            <w:tcW w:w="1559" w:type="dxa"/>
            <w:shd w:val="clear" w:color="auto" w:fill="auto"/>
            <w:vAlign w:val="center"/>
          </w:tcPr>
          <w:p w14:paraId="534AF03F" w14:textId="77777777" w:rsidR="00162B27" w:rsidRPr="005A2E0B" w:rsidRDefault="00162B27" w:rsidP="005A2E0B">
            <w:pPr>
              <w:adjustRightInd w:val="0"/>
              <w:jc w:val="right"/>
              <w:rPr>
                <w:rFonts w:ascii="Arial" w:eastAsia="Times New Roman" w:hAnsi="Arial" w:cs="Arial"/>
                <w:bCs/>
                <w:sz w:val="16"/>
                <w:szCs w:val="16"/>
                <w:lang w:eastAsia="en-IE"/>
              </w:rPr>
            </w:pPr>
          </w:p>
        </w:tc>
      </w:tr>
      <w:tr w:rsidR="005A2E0B" w:rsidRPr="005A2E0B" w14:paraId="266A5749" w14:textId="77777777" w:rsidTr="00D90662">
        <w:tc>
          <w:tcPr>
            <w:tcW w:w="1555" w:type="dxa"/>
            <w:shd w:val="clear" w:color="auto" w:fill="auto"/>
          </w:tcPr>
          <w:p w14:paraId="59EDCAA7" w14:textId="77777777" w:rsidR="005A2E0B" w:rsidRPr="005A2E0B" w:rsidRDefault="005A2E0B" w:rsidP="00131B81">
            <w:pPr>
              <w:jc w:val="both"/>
              <w:rPr>
                <w:rFonts w:ascii="Arial" w:hAnsi="Arial" w:cs="Arial"/>
                <w:b/>
                <w:sz w:val="16"/>
                <w:szCs w:val="16"/>
              </w:rPr>
            </w:pPr>
            <w:r w:rsidRPr="005A2E0B">
              <w:rPr>
                <w:rFonts w:ascii="Arial" w:hAnsi="Arial" w:cs="Arial"/>
                <w:b/>
                <w:sz w:val="16"/>
                <w:szCs w:val="16"/>
              </w:rPr>
              <w:t>Total</w:t>
            </w:r>
          </w:p>
        </w:tc>
        <w:tc>
          <w:tcPr>
            <w:tcW w:w="1417" w:type="dxa"/>
            <w:shd w:val="clear" w:color="auto" w:fill="auto"/>
            <w:vAlign w:val="center"/>
          </w:tcPr>
          <w:p w14:paraId="12844B5A" w14:textId="77777777" w:rsidR="005A2E0B" w:rsidRPr="005A2E0B" w:rsidRDefault="005A2E0B" w:rsidP="005A2E0B">
            <w:pPr>
              <w:adjustRightInd w:val="0"/>
              <w:jc w:val="right"/>
              <w:rPr>
                <w:rFonts w:ascii="Arial" w:eastAsia="Times New Roman" w:hAnsi="Arial" w:cs="Arial"/>
                <w:b/>
                <w:bCs/>
                <w:sz w:val="16"/>
                <w:szCs w:val="16"/>
                <w:lang w:eastAsia="en-IE"/>
              </w:rPr>
            </w:pPr>
            <w:r w:rsidRPr="005A2E0B">
              <w:rPr>
                <w:rFonts w:ascii="Arial" w:eastAsia="Times New Roman" w:hAnsi="Arial" w:cs="Arial"/>
                <w:b/>
                <w:bCs/>
                <w:sz w:val="16"/>
                <w:szCs w:val="16"/>
                <w:lang w:eastAsia="en-IE"/>
              </w:rPr>
              <w:t>490,436</w:t>
            </w:r>
          </w:p>
        </w:tc>
        <w:tc>
          <w:tcPr>
            <w:tcW w:w="1559" w:type="dxa"/>
            <w:shd w:val="clear" w:color="auto" w:fill="auto"/>
            <w:vAlign w:val="center"/>
          </w:tcPr>
          <w:p w14:paraId="784B77A3" w14:textId="77777777" w:rsidR="005A2E0B" w:rsidRPr="005A2E0B" w:rsidRDefault="005A2E0B" w:rsidP="005A2E0B">
            <w:pPr>
              <w:adjustRightInd w:val="0"/>
              <w:jc w:val="right"/>
              <w:rPr>
                <w:rFonts w:ascii="Arial" w:eastAsia="Times New Roman" w:hAnsi="Arial" w:cs="Arial"/>
                <w:b/>
                <w:bCs/>
                <w:sz w:val="16"/>
                <w:szCs w:val="16"/>
                <w:lang w:eastAsia="en-IE"/>
              </w:rPr>
            </w:pPr>
            <w:r w:rsidRPr="005A2E0B">
              <w:rPr>
                <w:rFonts w:ascii="Arial" w:eastAsia="Times New Roman" w:hAnsi="Arial" w:cs="Arial"/>
                <w:b/>
                <w:bCs/>
                <w:sz w:val="16"/>
                <w:szCs w:val="16"/>
                <w:lang w:eastAsia="en-IE"/>
              </w:rPr>
              <w:t>5.13</w:t>
            </w:r>
          </w:p>
        </w:tc>
        <w:tc>
          <w:tcPr>
            <w:tcW w:w="1418" w:type="dxa"/>
            <w:shd w:val="clear" w:color="auto" w:fill="auto"/>
            <w:vAlign w:val="center"/>
          </w:tcPr>
          <w:p w14:paraId="02398E0C" w14:textId="4B1A8121" w:rsidR="005A2E0B" w:rsidRPr="005A2E0B" w:rsidRDefault="00011352" w:rsidP="005A2E0B">
            <w:pPr>
              <w:adjustRightInd w:val="0"/>
              <w:jc w:val="right"/>
              <w:rPr>
                <w:rFonts w:ascii="Arial" w:eastAsia="Times New Roman" w:hAnsi="Arial" w:cs="Arial"/>
                <w:b/>
                <w:bCs/>
                <w:sz w:val="16"/>
                <w:szCs w:val="16"/>
                <w:lang w:eastAsia="en-IE"/>
              </w:rPr>
            </w:pPr>
            <w:r>
              <w:rPr>
                <w:rFonts w:ascii="Arial" w:eastAsia="Times New Roman" w:hAnsi="Arial" w:cs="Arial"/>
                <w:b/>
                <w:bCs/>
                <w:sz w:val="16"/>
                <w:szCs w:val="16"/>
                <w:lang w:eastAsia="en-IE"/>
              </w:rPr>
              <w:t>494,036</w:t>
            </w:r>
          </w:p>
        </w:tc>
        <w:tc>
          <w:tcPr>
            <w:tcW w:w="1559" w:type="dxa"/>
          </w:tcPr>
          <w:p w14:paraId="750B1023" w14:textId="05AF9F16" w:rsidR="005A2E0B" w:rsidRPr="005A2E0B" w:rsidRDefault="002D0D7B" w:rsidP="005A2E0B">
            <w:pPr>
              <w:adjustRightInd w:val="0"/>
              <w:jc w:val="right"/>
              <w:rPr>
                <w:rFonts w:ascii="Arial" w:eastAsia="Times New Roman" w:hAnsi="Arial" w:cs="Arial"/>
                <w:b/>
                <w:bCs/>
                <w:sz w:val="16"/>
                <w:szCs w:val="16"/>
                <w:lang w:eastAsia="en-IE"/>
              </w:rPr>
            </w:pPr>
            <w:r>
              <w:rPr>
                <w:rFonts w:ascii="Arial" w:eastAsia="Times New Roman" w:hAnsi="Arial" w:cs="Arial"/>
                <w:b/>
                <w:bCs/>
                <w:sz w:val="16"/>
                <w:szCs w:val="16"/>
                <w:lang w:eastAsia="en-IE"/>
              </w:rPr>
              <w:t>228,615</w:t>
            </w:r>
          </w:p>
        </w:tc>
        <w:tc>
          <w:tcPr>
            <w:tcW w:w="1559" w:type="dxa"/>
            <w:shd w:val="clear" w:color="auto" w:fill="auto"/>
            <w:vAlign w:val="center"/>
          </w:tcPr>
          <w:p w14:paraId="44770E3F" w14:textId="52D8A9F3" w:rsidR="005A2E0B" w:rsidRPr="005A2E0B" w:rsidRDefault="005A2E0B" w:rsidP="002D0D7B">
            <w:pPr>
              <w:adjustRightInd w:val="0"/>
              <w:jc w:val="right"/>
              <w:rPr>
                <w:rFonts w:ascii="Arial" w:eastAsia="Times New Roman" w:hAnsi="Arial" w:cs="Arial"/>
                <w:bCs/>
                <w:sz w:val="16"/>
                <w:szCs w:val="16"/>
                <w:lang w:eastAsia="en-IE"/>
              </w:rPr>
            </w:pPr>
            <w:r w:rsidRPr="005A2E0B">
              <w:rPr>
                <w:rFonts w:ascii="Arial" w:eastAsia="Times New Roman" w:hAnsi="Arial" w:cs="Arial"/>
                <w:b/>
                <w:bCs/>
                <w:sz w:val="16"/>
                <w:szCs w:val="16"/>
                <w:lang w:eastAsia="en-IE"/>
              </w:rPr>
              <w:t>5.</w:t>
            </w:r>
            <w:r w:rsidR="002D0D7B">
              <w:rPr>
                <w:rFonts w:ascii="Arial" w:eastAsia="Times New Roman" w:hAnsi="Arial" w:cs="Arial"/>
                <w:b/>
                <w:bCs/>
                <w:sz w:val="16"/>
                <w:szCs w:val="16"/>
                <w:lang w:eastAsia="en-IE"/>
              </w:rPr>
              <w:t>46</w:t>
            </w:r>
          </w:p>
        </w:tc>
      </w:tr>
    </w:tbl>
    <w:p w14:paraId="58A36189" w14:textId="7E01DCDD" w:rsidR="006B679A" w:rsidRDefault="00D90662" w:rsidP="002951DF">
      <w:pPr>
        <w:pStyle w:val="Default"/>
        <w:spacing w:before="60"/>
        <w:jc w:val="both"/>
        <w:rPr>
          <w:rStyle w:val="A5"/>
          <w:rFonts w:ascii="Arial" w:eastAsia="Times New Roman" w:hAnsi="Arial" w:cs="Arial"/>
          <w:sz w:val="16"/>
          <w:szCs w:val="16"/>
          <w:lang w:eastAsia="en-IE"/>
        </w:rPr>
      </w:pPr>
      <w:r w:rsidRPr="00D90662">
        <w:rPr>
          <w:rStyle w:val="A5"/>
          <w:rFonts w:ascii="Arial" w:eastAsia="Times New Roman" w:hAnsi="Arial" w:cs="Arial"/>
          <w:b/>
          <w:sz w:val="16"/>
          <w:szCs w:val="16"/>
          <w:lang w:eastAsia="en-IE"/>
        </w:rPr>
        <w:t>Note 1:</w:t>
      </w:r>
      <w:r w:rsidRPr="00735228">
        <w:rPr>
          <w:rStyle w:val="A5"/>
          <w:rFonts w:ascii="Arial" w:eastAsia="Times New Roman" w:hAnsi="Arial" w:cs="Arial"/>
          <w:sz w:val="16"/>
          <w:szCs w:val="16"/>
          <w:lang w:eastAsia="en-IE"/>
        </w:rPr>
        <w:t xml:space="preserve"> </w:t>
      </w:r>
      <w:r w:rsidR="007D558D">
        <w:rPr>
          <w:rStyle w:val="A5"/>
          <w:rFonts w:ascii="Arial" w:eastAsia="Times New Roman" w:hAnsi="Arial" w:cs="Arial"/>
          <w:sz w:val="16"/>
          <w:szCs w:val="16"/>
          <w:lang w:eastAsia="en-IE"/>
        </w:rPr>
        <w:t>The number of Ordinary Shares disclosed in the EGM</w:t>
      </w:r>
      <w:r w:rsidR="003608B8">
        <w:rPr>
          <w:rStyle w:val="A5"/>
          <w:rFonts w:ascii="Arial" w:eastAsia="Times New Roman" w:hAnsi="Arial" w:cs="Arial"/>
          <w:sz w:val="16"/>
          <w:szCs w:val="16"/>
          <w:lang w:eastAsia="en-IE"/>
        </w:rPr>
        <w:t xml:space="preserve"> Circular</w:t>
      </w:r>
      <w:r w:rsidR="007D558D">
        <w:rPr>
          <w:rStyle w:val="A5"/>
          <w:rFonts w:ascii="Arial" w:eastAsia="Times New Roman" w:hAnsi="Arial" w:cs="Arial"/>
          <w:sz w:val="16"/>
          <w:szCs w:val="16"/>
          <w:lang w:eastAsia="en-IE"/>
        </w:rPr>
        <w:t xml:space="preserve"> for each Director was their respective holdings as at the Latest Practicable Date, being 18 April 2018.  On 19 April Mr. Geoffrey Vance acquired </w:t>
      </w:r>
      <w:r w:rsidR="007662F7">
        <w:rPr>
          <w:rStyle w:val="A5"/>
          <w:rFonts w:ascii="Calibri" w:eastAsia="Times New Roman" w:hAnsi="Calibri" w:cs="Arial"/>
          <w:sz w:val="16"/>
          <w:szCs w:val="16"/>
          <w:lang w:eastAsia="en-IE"/>
        </w:rPr>
        <w:t>3,600</w:t>
      </w:r>
      <w:r w:rsidR="007D558D">
        <w:rPr>
          <w:rStyle w:val="A5"/>
          <w:rFonts w:ascii="Arial" w:eastAsia="Times New Roman" w:hAnsi="Arial" w:cs="Arial"/>
          <w:sz w:val="16"/>
          <w:szCs w:val="16"/>
          <w:lang w:eastAsia="en-IE"/>
        </w:rPr>
        <w:t xml:space="preserve"> Ordinary Shares</w:t>
      </w:r>
    </w:p>
    <w:p w14:paraId="748AD493" w14:textId="0ED82B73" w:rsidR="002D0D7B" w:rsidRDefault="002D0D7B" w:rsidP="00C97AA6">
      <w:pPr>
        <w:pStyle w:val="Default"/>
        <w:jc w:val="both"/>
        <w:rPr>
          <w:rStyle w:val="A5"/>
          <w:rFonts w:ascii="Arial" w:eastAsia="Times New Roman" w:hAnsi="Arial" w:cs="Arial"/>
          <w:sz w:val="16"/>
          <w:szCs w:val="16"/>
          <w:lang w:eastAsia="en-IE"/>
        </w:rPr>
      </w:pPr>
      <w:r>
        <w:rPr>
          <w:rStyle w:val="A5"/>
          <w:rFonts w:ascii="Arial" w:eastAsia="Times New Roman" w:hAnsi="Arial" w:cs="Arial"/>
          <w:b/>
          <w:sz w:val="16"/>
          <w:szCs w:val="16"/>
          <w:lang w:eastAsia="en-IE"/>
        </w:rPr>
        <w:t>Note 2:</w:t>
      </w:r>
      <w:r>
        <w:rPr>
          <w:rStyle w:val="A5"/>
          <w:rFonts w:ascii="Arial" w:eastAsia="Times New Roman" w:hAnsi="Arial" w:cs="Arial"/>
          <w:sz w:val="16"/>
          <w:szCs w:val="16"/>
          <w:lang w:eastAsia="en-IE"/>
        </w:rPr>
        <w:t xml:space="preserve"> Based </w:t>
      </w:r>
      <w:r w:rsidR="00D373D6">
        <w:rPr>
          <w:rStyle w:val="A5"/>
          <w:rFonts w:ascii="Arial" w:eastAsia="Times New Roman" w:hAnsi="Arial" w:cs="Arial"/>
          <w:sz w:val="16"/>
          <w:szCs w:val="16"/>
          <w:lang w:eastAsia="en-IE"/>
        </w:rPr>
        <w:t xml:space="preserve">and calculated </w:t>
      </w:r>
      <w:r>
        <w:rPr>
          <w:rStyle w:val="A5"/>
          <w:rFonts w:ascii="Arial" w:eastAsia="Times New Roman" w:hAnsi="Arial" w:cs="Arial"/>
          <w:sz w:val="16"/>
          <w:szCs w:val="16"/>
          <w:lang w:eastAsia="en-IE"/>
        </w:rPr>
        <w:t xml:space="preserve">on Ordinary Shares Outstanding </w:t>
      </w:r>
      <w:r w:rsidR="00D373D6">
        <w:rPr>
          <w:rStyle w:val="A5"/>
          <w:rFonts w:ascii="Arial" w:eastAsia="Times New Roman" w:hAnsi="Arial" w:cs="Arial"/>
          <w:sz w:val="16"/>
          <w:szCs w:val="16"/>
          <w:lang w:eastAsia="en-IE"/>
        </w:rPr>
        <w:t>of</w:t>
      </w:r>
      <w:r>
        <w:rPr>
          <w:rStyle w:val="A5"/>
          <w:rFonts w:ascii="Arial" w:eastAsia="Times New Roman" w:hAnsi="Arial" w:cs="Arial"/>
          <w:sz w:val="16"/>
          <w:szCs w:val="16"/>
          <w:lang w:eastAsia="en-IE"/>
        </w:rPr>
        <w:t xml:space="preserve"> </w:t>
      </w:r>
      <w:r w:rsidR="00536F0D">
        <w:rPr>
          <w:rStyle w:val="A5"/>
          <w:rFonts w:ascii="Arial" w:eastAsia="Times New Roman" w:hAnsi="Arial" w:cs="Arial"/>
          <w:sz w:val="16"/>
          <w:szCs w:val="16"/>
          <w:lang w:eastAsia="en-IE"/>
        </w:rPr>
        <w:t xml:space="preserve">9,558,059 </w:t>
      </w:r>
      <w:r w:rsidR="003A0362">
        <w:rPr>
          <w:rStyle w:val="A5"/>
          <w:rFonts w:ascii="Arial" w:eastAsia="Times New Roman" w:hAnsi="Arial" w:cs="Arial"/>
          <w:sz w:val="16"/>
          <w:szCs w:val="16"/>
          <w:lang w:eastAsia="en-IE"/>
        </w:rPr>
        <w:t xml:space="preserve">and </w:t>
      </w:r>
      <w:r>
        <w:rPr>
          <w:rStyle w:val="A5"/>
          <w:rFonts w:ascii="Arial" w:eastAsia="Times New Roman" w:hAnsi="Arial" w:cs="Arial"/>
          <w:sz w:val="16"/>
          <w:szCs w:val="16"/>
          <w:lang w:eastAsia="en-IE"/>
        </w:rPr>
        <w:t>727,531 Treasury Shares at the Latest Practicable Date</w:t>
      </w:r>
      <w:r w:rsidR="00D373D6">
        <w:rPr>
          <w:rStyle w:val="A5"/>
          <w:rFonts w:ascii="Arial" w:eastAsia="Times New Roman" w:hAnsi="Arial" w:cs="Arial"/>
          <w:sz w:val="16"/>
          <w:szCs w:val="16"/>
          <w:lang w:eastAsia="en-IE"/>
        </w:rPr>
        <w:t xml:space="preserve"> per the EGM Circular</w:t>
      </w:r>
    </w:p>
    <w:p w14:paraId="3D5F64CE" w14:textId="64256B2A" w:rsidR="002D0D7B" w:rsidRPr="002D0D7B" w:rsidRDefault="002D0D7B" w:rsidP="00C97AA6">
      <w:pPr>
        <w:pStyle w:val="Default"/>
        <w:jc w:val="both"/>
        <w:rPr>
          <w:rStyle w:val="A5"/>
          <w:rFonts w:ascii="Arial" w:eastAsia="Times New Roman" w:hAnsi="Arial" w:cs="Arial"/>
          <w:sz w:val="20"/>
          <w:szCs w:val="20"/>
          <w:lang w:eastAsia="en-IE"/>
        </w:rPr>
      </w:pPr>
      <w:r w:rsidRPr="002951DF">
        <w:rPr>
          <w:rStyle w:val="A5"/>
          <w:rFonts w:ascii="Arial" w:eastAsia="Times New Roman" w:hAnsi="Arial" w:cs="Arial"/>
          <w:b/>
          <w:sz w:val="16"/>
          <w:szCs w:val="16"/>
          <w:lang w:eastAsia="en-IE"/>
        </w:rPr>
        <w:t>Note 3:</w:t>
      </w:r>
      <w:r>
        <w:rPr>
          <w:rStyle w:val="A5"/>
          <w:rFonts w:ascii="Arial" w:eastAsia="Times New Roman" w:hAnsi="Arial" w:cs="Arial"/>
          <w:sz w:val="16"/>
          <w:szCs w:val="16"/>
          <w:lang w:eastAsia="en-IE"/>
        </w:rPr>
        <w:t xml:space="preserve"> Based </w:t>
      </w:r>
      <w:r w:rsidR="00D373D6">
        <w:rPr>
          <w:rStyle w:val="A5"/>
          <w:rFonts w:ascii="Arial" w:eastAsia="Times New Roman" w:hAnsi="Arial" w:cs="Arial"/>
          <w:sz w:val="16"/>
          <w:szCs w:val="16"/>
          <w:lang w:eastAsia="en-IE"/>
        </w:rPr>
        <w:t>and calculated on</w:t>
      </w:r>
      <w:r>
        <w:rPr>
          <w:rStyle w:val="A5"/>
          <w:rFonts w:ascii="Arial" w:eastAsia="Times New Roman" w:hAnsi="Arial" w:cs="Arial"/>
          <w:sz w:val="16"/>
          <w:szCs w:val="16"/>
          <w:lang w:eastAsia="en-IE"/>
        </w:rPr>
        <w:t xml:space="preserve"> Ordinary Shares Outstanding </w:t>
      </w:r>
      <w:r w:rsidR="00D373D6">
        <w:rPr>
          <w:rStyle w:val="A5"/>
          <w:rFonts w:ascii="Arial" w:eastAsia="Times New Roman" w:hAnsi="Arial" w:cs="Arial"/>
          <w:sz w:val="16"/>
          <w:szCs w:val="16"/>
          <w:lang w:eastAsia="en-IE"/>
        </w:rPr>
        <w:t>of</w:t>
      </w:r>
      <w:r>
        <w:rPr>
          <w:rStyle w:val="A5"/>
          <w:rFonts w:ascii="Arial" w:eastAsia="Times New Roman" w:hAnsi="Arial" w:cs="Arial"/>
          <w:sz w:val="16"/>
          <w:szCs w:val="16"/>
          <w:lang w:eastAsia="en-IE"/>
        </w:rPr>
        <w:t xml:space="preserve"> </w:t>
      </w:r>
      <w:r w:rsidR="00536F0D">
        <w:rPr>
          <w:rStyle w:val="A5"/>
          <w:rFonts w:ascii="Arial" w:eastAsia="Times New Roman" w:hAnsi="Arial" w:cs="Arial"/>
          <w:sz w:val="16"/>
          <w:szCs w:val="16"/>
          <w:lang w:eastAsia="en-IE"/>
        </w:rPr>
        <w:t>4,187,92</w:t>
      </w:r>
      <w:r w:rsidR="0069144D">
        <w:rPr>
          <w:rStyle w:val="A5"/>
          <w:rFonts w:ascii="Arial" w:eastAsia="Times New Roman" w:hAnsi="Arial" w:cs="Arial"/>
          <w:sz w:val="16"/>
          <w:szCs w:val="16"/>
          <w:lang w:eastAsia="en-IE"/>
        </w:rPr>
        <w:t>3</w:t>
      </w:r>
      <w:r w:rsidR="00536F0D">
        <w:rPr>
          <w:rStyle w:val="A5"/>
          <w:rFonts w:ascii="Arial" w:eastAsia="Times New Roman" w:hAnsi="Arial" w:cs="Arial"/>
          <w:sz w:val="16"/>
          <w:szCs w:val="16"/>
          <w:lang w:eastAsia="en-IE"/>
        </w:rPr>
        <w:t xml:space="preserve"> </w:t>
      </w:r>
      <w:r w:rsidR="003A0362">
        <w:rPr>
          <w:rStyle w:val="A5"/>
          <w:rFonts w:ascii="Arial" w:eastAsia="Times New Roman" w:hAnsi="Arial" w:cs="Arial"/>
          <w:sz w:val="16"/>
          <w:szCs w:val="16"/>
          <w:lang w:eastAsia="en-IE"/>
        </w:rPr>
        <w:t xml:space="preserve">and </w:t>
      </w:r>
      <w:r>
        <w:rPr>
          <w:rStyle w:val="A5"/>
          <w:rFonts w:ascii="Arial" w:eastAsia="Times New Roman" w:hAnsi="Arial" w:cs="Arial"/>
          <w:sz w:val="16"/>
          <w:szCs w:val="16"/>
          <w:lang w:eastAsia="en-IE"/>
        </w:rPr>
        <w:t>1,237,331 Treasury Shares at the time of this announcement</w:t>
      </w:r>
    </w:p>
    <w:p w14:paraId="0EE1B2B1" w14:textId="77777777" w:rsidR="006B679A" w:rsidRDefault="006B679A" w:rsidP="00C97AA6">
      <w:pPr>
        <w:pStyle w:val="Default"/>
        <w:jc w:val="both"/>
        <w:rPr>
          <w:rStyle w:val="A5"/>
          <w:rFonts w:ascii="Arial" w:eastAsia="Times New Roman" w:hAnsi="Arial" w:cs="Arial"/>
          <w:sz w:val="20"/>
          <w:szCs w:val="20"/>
          <w:lang w:eastAsia="en-IE"/>
        </w:rPr>
      </w:pPr>
    </w:p>
    <w:p w14:paraId="0390F5B0" w14:textId="77777777" w:rsidR="006B679A" w:rsidRPr="007D558D" w:rsidRDefault="007D558D" w:rsidP="00C97AA6">
      <w:pPr>
        <w:pStyle w:val="Default"/>
        <w:jc w:val="both"/>
        <w:rPr>
          <w:rStyle w:val="A5"/>
          <w:rFonts w:ascii="Arial" w:eastAsia="Times New Roman" w:hAnsi="Arial" w:cs="Arial"/>
          <w:b/>
          <w:sz w:val="20"/>
          <w:szCs w:val="20"/>
          <w:lang w:eastAsia="en-IE"/>
        </w:rPr>
      </w:pPr>
      <w:r w:rsidRPr="007D558D">
        <w:rPr>
          <w:rStyle w:val="A5"/>
          <w:rFonts w:ascii="Arial" w:eastAsia="Times New Roman" w:hAnsi="Arial" w:cs="Arial"/>
          <w:b/>
          <w:sz w:val="20"/>
          <w:szCs w:val="20"/>
          <w:lang w:eastAsia="en-IE"/>
        </w:rPr>
        <w:t>Substantial Shareholdings</w:t>
      </w:r>
    </w:p>
    <w:p w14:paraId="6B2E1C0E" w14:textId="77777777" w:rsidR="007D558D" w:rsidRDefault="007D558D" w:rsidP="00C97AA6">
      <w:pPr>
        <w:pStyle w:val="Default"/>
        <w:jc w:val="both"/>
        <w:rPr>
          <w:rStyle w:val="A5"/>
          <w:rFonts w:ascii="Arial" w:eastAsia="Times New Roman" w:hAnsi="Arial" w:cs="Arial"/>
          <w:sz w:val="20"/>
          <w:szCs w:val="20"/>
          <w:lang w:eastAsia="en-IE"/>
        </w:rPr>
      </w:pPr>
    </w:p>
    <w:p w14:paraId="62F72AFD" w14:textId="77777777" w:rsidR="007D558D" w:rsidRPr="007D558D" w:rsidRDefault="007D558D" w:rsidP="007D558D">
      <w:pPr>
        <w:pStyle w:val="ACBody1"/>
        <w:ind w:left="0"/>
        <w:rPr>
          <w:rFonts w:ascii="Arial" w:eastAsiaTheme="minorHAnsi" w:hAnsi="Arial" w:cs="Arial"/>
          <w:color w:val="000000"/>
          <w:sz w:val="20"/>
          <w:szCs w:val="20"/>
          <w:lang w:eastAsia="en-US"/>
        </w:rPr>
      </w:pPr>
      <w:r w:rsidRPr="007D558D">
        <w:rPr>
          <w:rFonts w:ascii="Arial" w:eastAsiaTheme="minorHAnsi" w:hAnsi="Arial" w:cs="Arial"/>
          <w:color w:val="000000"/>
          <w:sz w:val="20"/>
          <w:szCs w:val="20"/>
          <w:lang w:eastAsia="en-US"/>
        </w:rPr>
        <w:t>In addition to those interests disclosed under Directors’</w:t>
      </w:r>
      <w:r>
        <w:rPr>
          <w:rFonts w:ascii="Arial" w:eastAsiaTheme="minorHAnsi" w:hAnsi="Arial" w:cs="Arial"/>
          <w:color w:val="000000"/>
          <w:sz w:val="20"/>
          <w:szCs w:val="20"/>
          <w:lang w:eastAsia="en-US"/>
        </w:rPr>
        <w:t xml:space="preserve"> Interests, as at the time of this announcement</w:t>
      </w:r>
      <w:r w:rsidRPr="007D558D">
        <w:rPr>
          <w:rFonts w:ascii="Arial" w:eastAsiaTheme="minorHAnsi" w:hAnsi="Arial" w:cs="Arial"/>
          <w:color w:val="000000"/>
          <w:sz w:val="20"/>
          <w:szCs w:val="20"/>
          <w:lang w:eastAsia="en-US"/>
        </w:rPr>
        <w:t xml:space="preserve">, the Company had received notification of the following interests in its </w:t>
      </w:r>
      <w:r>
        <w:rPr>
          <w:rFonts w:ascii="Arial" w:eastAsiaTheme="minorHAnsi" w:hAnsi="Arial" w:cs="Arial"/>
          <w:color w:val="000000"/>
          <w:sz w:val="20"/>
          <w:szCs w:val="20"/>
          <w:lang w:eastAsia="en-US"/>
        </w:rPr>
        <w:t>Ordinary Shares.</w:t>
      </w:r>
    </w:p>
    <w:tbl>
      <w:tblPr>
        <w:tblStyle w:val="TableGrid"/>
        <w:tblW w:w="0" w:type="auto"/>
        <w:tblInd w:w="-5" w:type="dxa"/>
        <w:tblLook w:val="04A0" w:firstRow="1" w:lastRow="0" w:firstColumn="1" w:lastColumn="0" w:noHBand="0" w:noVBand="1"/>
      </w:tblPr>
      <w:tblGrid>
        <w:gridCol w:w="3969"/>
        <w:gridCol w:w="1701"/>
        <w:gridCol w:w="1701"/>
        <w:gridCol w:w="1650"/>
      </w:tblGrid>
      <w:tr w:rsidR="00A30128" w:rsidRPr="002951DF" w14:paraId="313FB65B" w14:textId="77777777" w:rsidTr="00A30128">
        <w:tc>
          <w:tcPr>
            <w:tcW w:w="3969" w:type="dxa"/>
          </w:tcPr>
          <w:p w14:paraId="3F3906F3" w14:textId="77777777" w:rsidR="00A30128" w:rsidRPr="002951DF" w:rsidRDefault="00A30128" w:rsidP="00A30128">
            <w:pPr>
              <w:autoSpaceDE w:val="0"/>
              <w:autoSpaceDN w:val="0"/>
              <w:adjustRightInd w:val="0"/>
              <w:jc w:val="center"/>
              <w:rPr>
                <w:rFonts w:ascii="Arial" w:hAnsi="Arial" w:cs="Arial"/>
                <w:b/>
                <w:bCs/>
                <w:sz w:val="16"/>
              </w:rPr>
            </w:pPr>
            <w:r w:rsidRPr="002951DF">
              <w:rPr>
                <w:rFonts w:ascii="Arial" w:hAnsi="Arial" w:cs="Arial"/>
                <w:b/>
                <w:bCs/>
                <w:sz w:val="16"/>
              </w:rPr>
              <w:t>Shareholder</w:t>
            </w:r>
          </w:p>
        </w:tc>
        <w:tc>
          <w:tcPr>
            <w:tcW w:w="1701" w:type="dxa"/>
          </w:tcPr>
          <w:p w14:paraId="09CC665B" w14:textId="77777777" w:rsidR="00A30128" w:rsidRPr="002951DF" w:rsidRDefault="00A30128" w:rsidP="00A30128">
            <w:pPr>
              <w:autoSpaceDE w:val="0"/>
              <w:autoSpaceDN w:val="0"/>
              <w:adjustRightInd w:val="0"/>
              <w:jc w:val="center"/>
              <w:rPr>
                <w:rFonts w:ascii="Arial" w:hAnsi="Arial" w:cs="Arial"/>
                <w:b/>
                <w:bCs/>
                <w:sz w:val="16"/>
              </w:rPr>
            </w:pPr>
            <w:r w:rsidRPr="002951DF">
              <w:rPr>
                <w:rFonts w:ascii="Arial" w:hAnsi="Arial" w:cs="Arial"/>
                <w:b/>
                <w:bCs/>
                <w:sz w:val="16"/>
              </w:rPr>
              <w:t>Ordinary Shares as at Conversion Date</w:t>
            </w:r>
          </w:p>
        </w:tc>
        <w:tc>
          <w:tcPr>
            <w:tcW w:w="1701" w:type="dxa"/>
          </w:tcPr>
          <w:p w14:paraId="017F6EE1" w14:textId="77777777" w:rsidR="00A30128" w:rsidRPr="002951DF" w:rsidRDefault="00A30128" w:rsidP="00A30128">
            <w:pPr>
              <w:autoSpaceDE w:val="0"/>
              <w:autoSpaceDN w:val="0"/>
              <w:adjustRightInd w:val="0"/>
              <w:jc w:val="center"/>
              <w:rPr>
                <w:rFonts w:ascii="Arial" w:hAnsi="Arial" w:cs="Arial"/>
                <w:b/>
                <w:bCs/>
                <w:sz w:val="16"/>
              </w:rPr>
            </w:pPr>
            <w:r w:rsidRPr="002951DF">
              <w:rPr>
                <w:rFonts w:ascii="Arial" w:hAnsi="Arial" w:cs="Arial"/>
                <w:b/>
                <w:sz w:val="16"/>
                <w:szCs w:val="16"/>
              </w:rPr>
              <w:t>Ordinary Shares post Conversion and Redemption</w:t>
            </w:r>
          </w:p>
        </w:tc>
        <w:tc>
          <w:tcPr>
            <w:tcW w:w="1650" w:type="dxa"/>
          </w:tcPr>
          <w:p w14:paraId="10CD5B99" w14:textId="77777777" w:rsidR="00A30128" w:rsidRPr="002951DF" w:rsidRDefault="00A30128" w:rsidP="00A30128">
            <w:pPr>
              <w:autoSpaceDE w:val="0"/>
              <w:autoSpaceDN w:val="0"/>
              <w:adjustRightInd w:val="0"/>
              <w:jc w:val="center"/>
              <w:rPr>
                <w:rFonts w:ascii="Arial" w:hAnsi="Arial" w:cs="Arial"/>
                <w:b/>
                <w:bCs/>
                <w:sz w:val="16"/>
              </w:rPr>
            </w:pPr>
            <w:r w:rsidRPr="002951DF">
              <w:rPr>
                <w:rFonts w:ascii="Arial" w:hAnsi="Arial" w:cs="Arial"/>
                <w:b/>
                <w:sz w:val="16"/>
                <w:szCs w:val="16"/>
              </w:rPr>
              <w:t>% Ordinary Shares Outstanding post Redemption</w:t>
            </w:r>
          </w:p>
        </w:tc>
      </w:tr>
      <w:tr w:rsidR="00162B27" w:rsidRPr="002951DF" w14:paraId="5D3C78DC" w14:textId="77777777" w:rsidTr="00A30128">
        <w:tc>
          <w:tcPr>
            <w:tcW w:w="3969" w:type="dxa"/>
          </w:tcPr>
          <w:p w14:paraId="46AC6726" w14:textId="77777777" w:rsidR="00162B27" w:rsidRPr="002951DF" w:rsidRDefault="00162B27" w:rsidP="00A30128">
            <w:pPr>
              <w:autoSpaceDE w:val="0"/>
              <w:autoSpaceDN w:val="0"/>
              <w:adjustRightInd w:val="0"/>
              <w:jc w:val="center"/>
              <w:rPr>
                <w:rFonts w:ascii="Arial" w:hAnsi="Arial" w:cs="Arial"/>
                <w:b/>
                <w:bCs/>
                <w:sz w:val="16"/>
              </w:rPr>
            </w:pPr>
          </w:p>
        </w:tc>
        <w:tc>
          <w:tcPr>
            <w:tcW w:w="1701" w:type="dxa"/>
          </w:tcPr>
          <w:p w14:paraId="5EFDF239" w14:textId="77777777" w:rsidR="00162B27" w:rsidRPr="002951DF" w:rsidRDefault="00162B27" w:rsidP="00A30128">
            <w:pPr>
              <w:autoSpaceDE w:val="0"/>
              <w:autoSpaceDN w:val="0"/>
              <w:adjustRightInd w:val="0"/>
              <w:jc w:val="center"/>
              <w:rPr>
                <w:rFonts w:ascii="Arial" w:hAnsi="Arial" w:cs="Arial"/>
                <w:b/>
                <w:bCs/>
                <w:sz w:val="16"/>
              </w:rPr>
            </w:pPr>
          </w:p>
        </w:tc>
        <w:tc>
          <w:tcPr>
            <w:tcW w:w="1701" w:type="dxa"/>
          </w:tcPr>
          <w:p w14:paraId="4F42513E" w14:textId="77777777" w:rsidR="00162B27" w:rsidRPr="002951DF" w:rsidRDefault="00162B27" w:rsidP="00A30128">
            <w:pPr>
              <w:autoSpaceDE w:val="0"/>
              <w:autoSpaceDN w:val="0"/>
              <w:adjustRightInd w:val="0"/>
              <w:jc w:val="center"/>
              <w:rPr>
                <w:rFonts w:ascii="Arial" w:hAnsi="Arial" w:cs="Arial"/>
                <w:b/>
                <w:sz w:val="16"/>
                <w:szCs w:val="16"/>
              </w:rPr>
            </w:pPr>
          </w:p>
        </w:tc>
        <w:tc>
          <w:tcPr>
            <w:tcW w:w="1650" w:type="dxa"/>
          </w:tcPr>
          <w:p w14:paraId="3E339DE0" w14:textId="77777777" w:rsidR="00162B27" w:rsidRPr="002951DF" w:rsidRDefault="00162B27" w:rsidP="00A30128">
            <w:pPr>
              <w:autoSpaceDE w:val="0"/>
              <w:autoSpaceDN w:val="0"/>
              <w:adjustRightInd w:val="0"/>
              <w:jc w:val="center"/>
              <w:rPr>
                <w:rFonts w:ascii="Arial" w:hAnsi="Arial" w:cs="Arial"/>
                <w:b/>
                <w:sz w:val="16"/>
                <w:szCs w:val="16"/>
              </w:rPr>
            </w:pPr>
          </w:p>
        </w:tc>
      </w:tr>
      <w:tr w:rsidR="00A30128" w:rsidRPr="00A30128" w14:paraId="1437AD03" w14:textId="77777777" w:rsidTr="00A30128">
        <w:tc>
          <w:tcPr>
            <w:tcW w:w="3969" w:type="dxa"/>
          </w:tcPr>
          <w:p w14:paraId="744381C2" w14:textId="5CE9CB50" w:rsidR="00A30128" w:rsidRPr="00A30128" w:rsidRDefault="00A30128" w:rsidP="00131B81">
            <w:pPr>
              <w:autoSpaceDE w:val="0"/>
              <w:autoSpaceDN w:val="0"/>
              <w:adjustRightInd w:val="0"/>
              <w:rPr>
                <w:rFonts w:ascii="Arial" w:hAnsi="Arial" w:cs="Arial"/>
                <w:bCs/>
                <w:sz w:val="16"/>
              </w:rPr>
            </w:pPr>
            <w:r>
              <w:rPr>
                <w:rFonts w:ascii="Arial" w:hAnsi="Arial" w:cs="Arial"/>
                <w:bCs/>
                <w:sz w:val="16"/>
              </w:rPr>
              <w:t xml:space="preserve">Aurora Nominees Limited </w:t>
            </w:r>
            <w:r w:rsidRPr="00A30128">
              <w:rPr>
                <w:rFonts w:ascii="Arial" w:hAnsi="Arial" w:cs="Arial"/>
                <w:bCs/>
                <w:sz w:val="16"/>
              </w:rPr>
              <w:t>– QUAERO CAPITAL SA</w:t>
            </w:r>
            <w:r w:rsidR="00D373D6" w:rsidRPr="002951DF">
              <w:rPr>
                <w:rFonts w:ascii="Arial" w:hAnsi="Arial" w:cs="Arial"/>
                <w:bCs/>
                <w:sz w:val="16"/>
                <w:vertAlign w:val="superscript"/>
              </w:rPr>
              <w:t>1</w:t>
            </w:r>
          </w:p>
        </w:tc>
        <w:tc>
          <w:tcPr>
            <w:tcW w:w="1701" w:type="dxa"/>
          </w:tcPr>
          <w:p w14:paraId="5CD5D69D" w14:textId="77777777" w:rsidR="00A30128" w:rsidRPr="00A30128" w:rsidRDefault="00A30128" w:rsidP="00A30128">
            <w:pPr>
              <w:autoSpaceDE w:val="0"/>
              <w:autoSpaceDN w:val="0"/>
              <w:adjustRightInd w:val="0"/>
              <w:jc w:val="right"/>
              <w:rPr>
                <w:rFonts w:ascii="Arial" w:hAnsi="Arial" w:cs="Arial"/>
                <w:bCs/>
                <w:sz w:val="16"/>
              </w:rPr>
            </w:pPr>
            <w:r w:rsidRPr="00A30128">
              <w:rPr>
                <w:rFonts w:ascii="Arial" w:hAnsi="Arial" w:cs="Arial"/>
                <w:bCs/>
                <w:sz w:val="16"/>
              </w:rPr>
              <w:t>952,000</w:t>
            </w:r>
          </w:p>
        </w:tc>
        <w:tc>
          <w:tcPr>
            <w:tcW w:w="1701" w:type="dxa"/>
          </w:tcPr>
          <w:p w14:paraId="12973342" w14:textId="55634617" w:rsidR="00A30128" w:rsidRPr="00A30128" w:rsidRDefault="00011352" w:rsidP="00A30128">
            <w:pPr>
              <w:autoSpaceDE w:val="0"/>
              <w:autoSpaceDN w:val="0"/>
              <w:adjustRightInd w:val="0"/>
              <w:jc w:val="right"/>
              <w:rPr>
                <w:rFonts w:ascii="Arial" w:hAnsi="Arial" w:cs="Arial"/>
                <w:bCs/>
                <w:sz w:val="16"/>
              </w:rPr>
            </w:pPr>
            <w:r>
              <w:rPr>
                <w:rFonts w:ascii="Arial" w:hAnsi="Arial" w:cs="Arial"/>
                <w:bCs/>
                <w:sz w:val="16"/>
              </w:rPr>
              <w:t>440,532</w:t>
            </w:r>
          </w:p>
        </w:tc>
        <w:tc>
          <w:tcPr>
            <w:tcW w:w="1650" w:type="dxa"/>
          </w:tcPr>
          <w:p w14:paraId="4D9625DF" w14:textId="4D0F5024" w:rsidR="00A30128" w:rsidRPr="00A30128" w:rsidRDefault="00676AF4" w:rsidP="00676AF4">
            <w:pPr>
              <w:autoSpaceDE w:val="0"/>
              <w:autoSpaceDN w:val="0"/>
              <w:adjustRightInd w:val="0"/>
              <w:jc w:val="right"/>
              <w:rPr>
                <w:rFonts w:ascii="Arial" w:hAnsi="Arial" w:cs="Arial"/>
                <w:bCs/>
                <w:sz w:val="16"/>
              </w:rPr>
            </w:pPr>
            <w:r>
              <w:rPr>
                <w:rFonts w:ascii="Arial" w:hAnsi="Arial" w:cs="Arial"/>
                <w:bCs/>
                <w:sz w:val="16"/>
              </w:rPr>
              <w:t xml:space="preserve"> </w:t>
            </w:r>
            <w:r w:rsidR="00011352">
              <w:rPr>
                <w:rFonts w:ascii="Arial" w:hAnsi="Arial" w:cs="Arial"/>
                <w:bCs/>
                <w:sz w:val="16"/>
              </w:rPr>
              <w:t>10.52</w:t>
            </w:r>
          </w:p>
        </w:tc>
      </w:tr>
      <w:tr w:rsidR="00A30128" w:rsidRPr="00A30128" w14:paraId="138A509C" w14:textId="77777777" w:rsidTr="00A30128">
        <w:tc>
          <w:tcPr>
            <w:tcW w:w="3969" w:type="dxa"/>
          </w:tcPr>
          <w:p w14:paraId="36F50D21" w14:textId="77777777" w:rsidR="00A30128" w:rsidRPr="001F3E46" w:rsidRDefault="00A30128" w:rsidP="00131B81">
            <w:pPr>
              <w:autoSpaceDE w:val="0"/>
              <w:autoSpaceDN w:val="0"/>
              <w:adjustRightInd w:val="0"/>
              <w:rPr>
                <w:rFonts w:ascii="Arial" w:hAnsi="Arial" w:cs="Arial"/>
                <w:bCs/>
                <w:sz w:val="16"/>
              </w:rPr>
            </w:pPr>
            <w:r w:rsidRPr="001F3E46">
              <w:rPr>
                <w:rFonts w:ascii="Arial" w:hAnsi="Arial" w:cs="Arial"/>
                <w:bCs/>
                <w:sz w:val="16"/>
              </w:rPr>
              <w:t>Goodbody Stockbroker Nominees Limited</w:t>
            </w:r>
          </w:p>
        </w:tc>
        <w:tc>
          <w:tcPr>
            <w:tcW w:w="1701" w:type="dxa"/>
          </w:tcPr>
          <w:p w14:paraId="720577F0" w14:textId="6FA4B9E4" w:rsidR="00A30128" w:rsidRPr="00676AF4" w:rsidRDefault="0069144D" w:rsidP="00A30128">
            <w:pPr>
              <w:autoSpaceDE w:val="0"/>
              <w:autoSpaceDN w:val="0"/>
              <w:adjustRightInd w:val="0"/>
              <w:jc w:val="right"/>
              <w:rPr>
                <w:rFonts w:ascii="Arial" w:hAnsi="Arial" w:cs="Arial"/>
                <w:bCs/>
                <w:sz w:val="16"/>
              </w:rPr>
            </w:pPr>
            <w:r w:rsidRPr="00676AF4">
              <w:rPr>
                <w:rFonts w:ascii="Arial" w:hAnsi="Arial" w:cs="Arial"/>
                <w:bCs/>
                <w:sz w:val="16"/>
              </w:rPr>
              <w:t>732,674</w:t>
            </w:r>
          </w:p>
        </w:tc>
        <w:tc>
          <w:tcPr>
            <w:tcW w:w="1701" w:type="dxa"/>
          </w:tcPr>
          <w:p w14:paraId="56D720EE" w14:textId="1D7C5039" w:rsidR="00A30128" w:rsidRPr="00676AF4" w:rsidRDefault="0069144D" w:rsidP="0069144D">
            <w:pPr>
              <w:autoSpaceDE w:val="0"/>
              <w:autoSpaceDN w:val="0"/>
              <w:adjustRightInd w:val="0"/>
              <w:jc w:val="right"/>
              <w:rPr>
                <w:rFonts w:ascii="Arial" w:hAnsi="Arial" w:cs="Arial"/>
                <w:bCs/>
                <w:sz w:val="16"/>
              </w:rPr>
            </w:pPr>
            <w:r w:rsidRPr="00676AF4">
              <w:rPr>
                <w:rFonts w:ascii="Arial" w:hAnsi="Arial" w:cs="Arial"/>
                <w:bCs/>
                <w:sz w:val="16"/>
              </w:rPr>
              <w:t>339,040</w:t>
            </w:r>
          </w:p>
        </w:tc>
        <w:tc>
          <w:tcPr>
            <w:tcW w:w="1650" w:type="dxa"/>
          </w:tcPr>
          <w:p w14:paraId="16173649" w14:textId="5F8253B6" w:rsidR="00A30128" w:rsidRPr="00676AF4" w:rsidRDefault="0069144D" w:rsidP="00676AF4">
            <w:pPr>
              <w:autoSpaceDE w:val="0"/>
              <w:autoSpaceDN w:val="0"/>
              <w:adjustRightInd w:val="0"/>
              <w:jc w:val="right"/>
              <w:rPr>
                <w:rFonts w:ascii="Arial" w:hAnsi="Arial" w:cs="Arial"/>
                <w:bCs/>
                <w:sz w:val="16"/>
              </w:rPr>
            </w:pPr>
            <w:r w:rsidRPr="00676AF4">
              <w:rPr>
                <w:rFonts w:ascii="Arial" w:hAnsi="Arial" w:cs="Arial"/>
                <w:bCs/>
                <w:sz w:val="16"/>
              </w:rPr>
              <w:t>8.</w:t>
            </w:r>
            <w:r w:rsidR="001F3E46" w:rsidRPr="00676AF4">
              <w:rPr>
                <w:rFonts w:ascii="Arial" w:hAnsi="Arial" w:cs="Arial"/>
                <w:bCs/>
                <w:sz w:val="16"/>
              </w:rPr>
              <w:t>1</w:t>
            </w:r>
            <w:r w:rsidRPr="00676AF4">
              <w:rPr>
                <w:rFonts w:ascii="Arial" w:hAnsi="Arial" w:cs="Arial"/>
                <w:bCs/>
                <w:sz w:val="16"/>
              </w:rPr>
              <w:t>0</w:t>
            </w:r>
          </w:p>
        </w:tc>
      </w:tr>
      <w:tr w:rsidR="00A30128" w:rsidRPr="00A30128" w14:paraId="3D0C28B5" w14:textId="77777777" w:rsidTr="00A30128">
        <w:tc>
          <w:tcPr>
            <w:tcW w:w="3969" w:type="dxa"/>
          </w:tcPr>
          <w:p w14:paraId="3C432C17" w14:textId="1029AC75" w:rsidR="00A30128" w:rsidRPr="00A30128" w:rsidRDefault="00A30128" w:rsidP="00131B81">
            <w:pPr>
              <w:autoSpaceDE w:val="0"/>
              <w:autoSpaceDN w:val="0"/>
              <w:adjustRightInd w:val="0"/>
              <w:rPr>
                <w:rFonts w:ascii="Arial" w:hAnsi="Arial" w:cs="Arial"/>
                <w:bCs/>
                <w:sz w:val="16"/>
              </w:rPr>
            </w:pPr>
            <w:r w:rsidRPr="00A30128">
              <w:rPr>
                <w:rFonts w:ascii="Arial" w:hAnsi="Arial" w:cs="Arial"/>
                <w:bCs/>
                <w:sz w:val="16"/>
              </w:rPr>
              <w:t>Aurum Nominees Limited – Donegal Investment Group plc</w:t>
            </w:r>
            <w:r w:rsidR="00D373D6" w:rsidRPr="002951DF">
              <w:rPr>
                <w:rFonts w:ascii="Arial" w:hAnsi="Arial" w:cs="Arial"/>
                <w:bCs/>
                <w:sz w:val="16"/>
                <w:vertAlign w:val="superscript"/>
              </w:rPr>
              <w:t>2</w:t>
            </w:r>
          </w:p>
        </w:tc>
        <w:tc>
          <w:tcPr>
            <w:tcW w:w="1701" w:type="dxa"/>
          </w:tcPr>
          <w:p w14:paraId="77FF49C4" w14:textId="09FD71DE" w:rsidR="00A30128" w:rsidRPr="00A30128" w:rsidRDefault="007662F7" w:rsidP="00A30128">
            <w:pPr>
              <w:autoSpaceDE w:val="0"/>
              <w:autoSpaceDN w:val="0"/>
              <w:adjustRightInd w:val="0"/>
              <w:jc w:val="right"/>
              <w:rPr>
                <w:rFonts w:ascii="Arial" w:hAnsi="Arial" w:cs="Arial"/>
                <w:bCs/>
                <w:sz w:val="16"/>
              </w:rPr>
            </w:pPr>
            <w:r>
              <w:rPr>
                <w:rFonts w:ascii="Arial" w:hAnsi="Arial" w:cs="Arial"/>
                <w:bCs/>
                <w:sz w:val="16"/>
              </w:rPr>
              <w:t>1,237,331</w:t>
            </w:r>
          </w:p>
        </w:tc>
        <w:tc>
          <w:tcPr>
            <w:tcW w:w="1701" w:type="dxa"/>
          </w:tcPr>
          <w:p w14:paraId="17BDD51F" w14:textId="239F5376" w:rsidR="00A30128" w:rsidRPr="00A30128" w:rsidRDefault="007662F7" w:rsidP="00A30128">
            <w:pPr>
              <w:autoSpaceDE w:val="0"/>
              <w:autoSpaceDN w:val="0"/>
              <w:adjustRightInd w:val="0"/>
              <w:jc w:val="right"/>
              <w:rPr>
                <w:rFonts w:ascii="Arial" w:hAnsi="Arial" w:cs="Arial"/>
                <w:bCs/>
                <w:sz w:val="16"/>
              </w:rPr>
            </w:pPr>
            <w:r>
              <w:rPr>
                <w:rFonts w:ascii="Arial" w:hAnsi="Arial" w:cs="Arial"/>
                <w:bCs/>
                <w:sz w:val="16"/>
              </w:rPr>
              <w:t>1,237,331</w:t>
            </w:r>
          </w:p>
        </w:tc>
        <w:tc>
          <w:tcPr>
            <w:tcW w:w="1650" w:type="dxa"/>
          </w:tcPr>
          <w:p w14:paraId="68A5D5E9" w14:textId="25D256C5" w:rsidR="00A30128" w:rsidRPr="00A30128" w:rsidRDefault="00011352" w:rsidP="00676AF4">
            <w:pPr>
              <w:autoSpaceDE w:val="0"/>
              <w:autoSpaceDN w:val="0"/>
              <w:adjustRightInd w:val="0"/>
              <w:jc w:val="right"/>
              <w:rPr>
                <w:rFonts w:ascii="Arial" w:hAnsi="Arial" w:cs="Arial"/>
                <w:bCs/>
                <w:sz w:val="16"/>
              </w:rPr>
            </w:pPr>
            <w:r>
              <w:rPr>
                <w:rFonts w:ascii="Arial" w:hAnsi="Arial" w:cs="Arial"/>
                <w:bCs/>
                <w:sz w:val="16"/>
              </w:rPr>
              <w:t>29.55</w:t>
            </w:r>
          </w:p>
        </w:tc>
      </w:tr>
      <w:tr w:rsidR="00A30128" w:rsidRPr="00A30128" w14:paraId="6C96F5C7" w14:textId="77777777" w:rsidTr="00A30128">
        <w:tc>
          <w:tcPr>
            <w:tcW w:w="3969" w:type="dxa"/>
          </w:tcPr>
          <w:p w14:paraId="16827229" w14:textId="77777777" w:rsidR="00A30128" w:rsidRPr="00A30128" w:rsidRDefault="00A30128" w:rsidP="00131B81">
            <w:pPr>
              <w:autoSpaceDE w:val="0"/>
              <w:autoSpaceDN w:val="0"/>
              <w:adjustRightInd w:val="0"/>
              <w:rPr>
                <w:rFonts w:ascii="Arial" w:hAnsi="Arial" w:cs="Arial"/>
                <w:bCs/>
                <w:sz w:val="16"/>
              </w:rPr>
            </w:pPr>
            <w:r w:rsidRPr="00A30128">
              <w:rPr>
                <w:rFonts w:ascii="Arial" w:hAnsi="Arial" w:cs="Arial"/>
                <w:bCs/>
                <w:sz w:val="16"/>
              </w:rPr>
              <w:t>Pageant Investments Limited</w:t>
            </w:r>
          </w:p>
        </w:tc>
        <w:tc>
          <w:tcPr>
            <w:tcW w:w="1701" w:type="dxa"/>
          </w:tcPr>
          <w:p w14:paraId="25625089" w14:textId="0F11048B" w:rsidR="00A30128" w:rsidRPr="00A30128" w:rsidRDefault="007739CD" w:rsidP="00A30128">
            <w:pPr>
              <w:autoSpaceDE w:val="0"/>
              <w:autoSpaceDN w:val="0"/>
              <w:adjustRightInd w:val="0"/>
              <w:jc w:val="right"/>
              <w:rPr>
                <w:rFonts w:ascii="Arial" w:hAnsi="Arial" w:cs="Arial"/>
                <w:bCs/>
                <w:sz w:val="16"/>
              </w:rPr>
            </w:pPr>
            <w:r>
              <w:rPr>
                <w:rFonts w:ascii="Arial" w:hAnsi="Arial" w:cs="Arial"/>
                <w:bCs/>
                <w:sz w:val="16"/>
              </w:rPr>
              <w:t>722,797</w:t>
            </w:r>
          </w:p>
        </w:tc>
        <w:tc>
          <w:tcPr>
            <w:tcW w:w="1701" w:type="dxa"/>
          </w:tcPr>
          <w:p w14:paraId="47B84FBE" w14:textId="7C61FC11" w:rsidR="00A30128" w:rsidRPr="00A30128" w:rsidRDefault="002D491E" w:rsidP="002951DF">
            <w:pPr>
              <w:autoSpaceDE w:val="0"/>
              <w:autoSpaceDN w:val="0"/>
              <w:adjustRightInd w:val="0"/>
              <w:jc w:val="right"/>
              <w:rPr>
                <w:rFonts w:ascii="Arial" w:hAnsi="Arial" w:cs="Arial"/>
                <w:bCs/>
                <w:sz w:val="16"/>
              </w:rPr>
            </w:pPr>
            <w:r>
              <w:rPr>
                <w:rFonts w:ascii="Arial" w:hAnsi="Arial" w:cs="Arial"/>
                <w:bCs/>
                <w:sz w:val="16"/>
              </w:rPr>
              <w:t>334,470</w:t>
            </w:r>
          </w:p>
        </w:tc>
        <w:tc>
          <w:tcPr>
            <w:tcW w:w="1650" w:type="dxa"/>
          </w:tcPr>
          <w:p w14:paraId="04D7F9CE" w14:textId="11577B64" w:rsidR="00A30128" w:rsidRPr="00A30128" w:rsidRDefault="002D491E" w:rsidP="00676AF4">
            <w:pPr>
              <w:autoSpaceDE w:val="0"/>
              <w:autoSpaceDN w:val="0"/>
              <w:adjustRightInd w:val="0"/>
              <w:jc w:val="right"/>
              <w:rPr>
                <w:rFonts w:ascii="Arial" w:hAnsi="Arial" w:cs="Arial"/>
                <w:bCs/>
                <w:sz w:val="16"/>
              </w:rPr>
            </w:pPr>
            <w:r>
              <w:rPr>
                <w:rFonts w:ascii="Arial" w:hAnsi="Arial" w:cs="Arial"/>
                <w:bCs/>
                <w:sz w:val="16"/>
              </w:rPr>
              <w:t>7.99</w:t>
            </w:r>
          </w:p>
        </w:tc>
      </w:tr>
    </w:tbl>
    <w:p w14:paraId="765FB7FE" w14:textId="77777777" w:rsidR="00A30128" w:rsidRDefault="00A30128" w:rsidP="002951DF">
      <w:pPr>
        <w:pStyle w:val="ACBody1"/>
        <w:spacing w:before="60" w:after="0"/>
        <w:ind w:left="0"/>
        <w:rPr>
          <w:rFonts w:ascii="Arial" w:hAnsi="Arial" w:cs="Arial"/>
          <w:bCs/>
          <w:sz w:val="16"/>
        </w:rPr>
      </w:pPr>
      <w:r w:rsidRPr="00A30128">
        <w:rPr>
          <w:rFonts w:ascii="Arial" w:hAnsi="Arial" w:cs="Arial"/>
          <w:b/>
          <w:bCs/>
          <w:sz w:val="16"/>
        </w:rPr>
        <w:t>Note 1:</w:t>
      </w:r>
      <w:r>
        <w:rPr>
          <w:rFonts w:ascii="Arial" w:hAnsi="Arial" w:cs="Arial"/>
          <w:bCs/>
          <w:sz w:val="16"/>
        </w:rPr>
        <w:t xml:space="preserve"> Previously registered on the Company’s ordinary share register as </w:t>
      </w:r>
      <w:r w:rsidRPr="00A30128">
        <w:rPr>
          <w:rFonts w:ascii="Arial" w:hAnsi="Arial" w:cs="Arial"/>
          <w:bCs/>
          <w:sz w:val="16"/>
        </w:rPr>
        <w:t>HSBC Global Custody Nomine</w:t>
      </w:r>
      <w:r>
        <w:rPr>
          <w:rFonts w:ascii="Arial" w:hAnsi="Arial" w:cs="Arial"/>
          <w:bCs/>
          <w:sz w:val="16"/>
        </w:rPr>
        <w:t>e</w:t>
      </w:r>
      <w:r w:rsidRPr="00A30128">
        <w:rPr>
          <w:rFonts w:ascii="Arial" w:hAnsi="Arial" w:cs="Arial"/>
          <w:bCs/>
          <w:sz w:val="16"/>
        </w:rPr>
        <w:t xml:space="preserve"> (UK) Limited</w:t>
      </w:r>
    </w:p>
    <w:p w14:paraId="29C9C9AA" w14:textId="779250F8" w:rsidR="00D373D6" w:rsidRDefault="00D373D6" w:rsidP="00A30128">
      <w:pPr>
        <w:pStyle w:val="ACBody1"/>
        <w:spacing w:after="0"/>
        <w:ind w:left="0"/>
        <w:rPr>
          <w:rFonts w:ascii="Arial" w:eastAsiaTheme="minorHAnsi" w:hAnsi="Arial" w:cs="Arial"/>
          <w:color w:val="000000"/>
          <w:sz w:val="20"/>
          <w:szCs w:val="20"/>
          <w:lang w:eastAsia="en-US"/>
        </w:rPr>
      </w:pPr>
      <w:r w:rsidRPr="002951DF">
        <w:rPr>
          <w:rFonts w:ascii="Arial" w:hAnsi="Arial" w:cs="Arial"/>
          <w:b/>
          <w:bCs/>
          <w:sz w:val="16"/>
        </w:rPr>
        <w:t>Note 2:</w:t>
      </w:r>
      <w:r>
        <w:rPr>
          <w:rFonts w:ascii="Arial" w:hAnsi="Arial" w:cs="Arial"/>
          <w:bCs/>
          <w:sz w:val="16"/>
        </w:rPr>
        <w:t xml:space="preserve"> Ordinary Shares held by the Company as Treasury Shares are not included in Ordinary Shares Outstanding and so </w:t>
      </w:r>
      <w:r w:rsidR="00536F0D">
        <w:rPr>
          <w:rFonts w:ascii="Arial" w:hAnsi="Arial" w:cs="Arial"/>
          <w:bCs/>
          <w:sz w:val="16"/>
        </w:rPr>
        <w:t>do</w:t>
      </w:r>
      <w:r>
        <w:rPr>
          <w:rFonts w:ascii="Arial" w:hAnsi="Arial" w:cs="Arial"/>
          <w:bCs/>
          <w:sz w:val="16"/>
        </w:rPr>
        <w:t xml:space="preserve"> not participate in the Conversion and Redemption</w:t>
      </w:r>
      <w:r w:rsidR="00536F0D">
        <w:rPr>
          <w:rFonts w:ascii="Arial" w:hAnsi="Arial" w:cs="Arial"/>
          <w:bCs/>
          <w:sz w:val="16"/>
        </w:rPr>
        <w:t xml:space="preserve"> and as such the Return of Capital of approximately €45 million</w:t>
      </w:r>
    </w:p>
    <w:p w14:paraId="51229045" w14:textId="77777777" w:rsidR="00A30128" w:rsidRDefault="00A30128" w:rsidP="00A30128">
      <w:pPr>
        <w:pStyle w:val="ACBody1"/>
        <w:spacing w:after="0"/>
        <w:ind w:left="0"/>
        <w:rPr>
          <w:rFonts w:ascii="Arial" w:eastAsiaTheme="minorHAnsi" w:hAnsi="Arial" w:cs="Arial"/>
          <w:color w:val="000000"/>
          <w:sz w:val="20"/>
          <w:szCs w:val="20"/>
          <w:lang w:eastAsia="en-US"/>
        </w:rPr>
      </w:pPr>
    </w:p>
    <w:p w14:paraId="360590CB" w14:textId="77777777" w:rsidR="007D558D" w:rsidRPr="00A30128" w:rsidRDefault="007D558D" w:rsidP="00A30128">
      <w:pPr>
        <w:pStyle w:val="ACBody1"/>
        <w:spacing w:after="0"/>
        <w:ind w:left="0"/>
        <w:rPr>
          <w:rFonts w:ascii="Arial" w:eastAsiaTheme="minorHAnsi" w:hAnsi="Arial" w:cs="Arial"/>
          <w:color w:val="000000"/>
          <w:sz w:val="20"/>
          <w:szCs w:val="20"/>
          <w:lang w:eastAsia="en-US"/>
        </w:rPr>
      </w:pPr>
      <w:r w:rsidRPr="00A30128">
        <w:rPr>
          <w:rFonts w:ascii="Arial" w:eastAsiaTheme="minorHAnsi" w:hAnsi="Arial" w:cs="Arial"/>
          <w:color w:val="000000"/>
          <w:sz w:val="20"/>
          <w:szCs w:val="20"/>
          <w:lang w:eastAsia="en-US"/>
        </w:rPr>
        <w:t xml:space="preserve">Apart from these holdings, the Company has not been notified at the </w:t>
      </w:r>
      <w:r w:rsidR="00A30128">
        <w:rPr>
          <w:rFonts w:ascii="Arial" w:eastAsiaTheme="minorHAnsi" w:hAnsi="Arial" w:cs="Arial"/>
          <w:color w:val="000000"/>
          <w:sz w:val="20"/>
          <w:szCs w:val="20"/>
          <w:lang w:eastAsia="en-US"/>
        </w:rPr>
        <w:t>time of this announcement</w:t>
      </w:r>
      <w:r w:rsidRPr="00A30128">
        <w:rPr>
          <w:rFonts w:ascii="Arial" w:eastAsiaTheme="minorHAnsi" w:hAnsi="Arial" w:cs="Arial"/>
          <w:color w:val="000000"/>
          <w:sz w:val="20"/>
          <w:szCs w:val="20"/>
          <w:lang w:eastAsia="en-US"/>
        </w:rPr>
        <w:t xml:space="preserve"> of any interest of 3 per cent or more in its </w:t>
      </w:r>
      <w:r w:rsidR="00A30128">
        <w:rPr>
          <w:rFonts w:ascii="Arial" w:eastAsiaTheme="minorHAnsi" w:hAnsi="Arial" w:cs="Arial"/>
          <w:color w:val="000000"/>
          <w:sz w:val="20"/>
          <w:szCs w:val="20"/>
          <w:lang w:eastAsia="en-US"/>
        </w:rPr>
        <w:t>O</w:t>
      </w:r>
      <w:r w:rsidRPr="00A30128">
        <w:rPr>
          <w:rFonts w:ascii="Arial" w:eastAsiaTheme="minorHAnsi" w:hAnsi="Arial" w:cs="Arial"/>
          <w:color w:val="000000"/>
          <w:sz w:val="20"/>
          <w:szCs w:val="20"/>
          <w:lang w:eastAsia="en-US"/>
        </w:rPr>
        <w:t xml:space="preserve">rdinary </w:t>
      </w:r>
      <w:r w:rsidR="00A30128">
        <w:rPr>
          <w:rFonts w:ascii="Arial" w:eastAsiaTheme="minorHAnsi" w:hAnsi="Arial" w:cs="Arial"/>
          <w:color w:val="000000"/>
          <w:sz w:val="20"/>
          <w:szCs w:val="20"/>
          <w:lang w:eastAsia="en-US"/>
        </w:rPr>
        <w:t>S</w:t>
      </w:r>
      <w:r w:rsidRPr="00A30128">
        <w:rPr>
          <w:rFonts w:ascii="Arial" w:eastAsiaTheme="minorHAnsi" w:hAnsi="Arial" w:cs="Arial"/>
          <w:color w:val="000000"/>
          <w:sz w:val="20"/>
          <w:szCs w:val="20"/>
          <w:lang w:eastAsia="en-US"/>
        </w:rPr>
        <w:t>hare</w:t>
      </w:r>
      <w:r w:rsidR="00A30128">
        <w:rPr>
          <w:rFonts w:ascii="Arial" w:eastAsiaTheme="minorHAnsi" w:hAnsi="Arial" w:cs="Arial"/>
          <w:color w:val="000000"/>
          <w:sz w:val="20"/>
          <w:szCs w:val="20"/>
          <w:lang w:eastAsia="en-US"/>
        </w:rPr>
        <w:t>s</w:t>
      </w:r>
      <w:r w:rsidRPr="00A30128">
        <w:rPr>
          <w:rFonts w:ascii="Arial" w:eastAsiaTheme="minorHAnsi" w:hAnsi="Arial" w:cs="Arial"/>
          <w:color w:val="000000"/>
          <w:sz w:val="20"/>
          <w:szCs w:val="20"/>
          <w:lang w:eastAsia="en-US"/>
        </w:rPr>
        <w:t>.</w:t>
      </w:r>
    </w:p>
    <w:p w14:paraId="0E907A8A" w14:textId="77777777" w:rsidR="007D558D" w:rsidRDefault="007D558D" w:rsidP="00C97AA6">
      <w:pPr>
        <w:pStyle w:val="Default"/>
        <w:jc w:val="both"/>
        <w:rPr>
          <w:rStyle w:val="A5"/>
          <w:rFonts w:ascii="Arial" w:eastAsia="Times New Roman" w:hAnsi="Arial" w:cs="Arial"/>
          <w:sz w:val="20"/>
          <w:szCs w:val="20"/>
          <w:lang w:eastAsia="en-IE"/>
        </w:rPr>
      </w:pPr>
    </w:p>
    <w:p w14:paraId="57B9BBD9" w14:textId="77777777" w:rsidR="006B679A" w:rsidRPr="00AF7A5C" w:rsidRDefault="00AF7A5C" w:rsidP="00C97AA6">
      <w:pPr>
        <w:pStyle w:val="Default"/>
        <w:jc w:val="both"/>
        <w:rPr>
          <w:rStyle w:val="A5"/>
          <w:rFonts w:ascii="Arial" w:eastAsia="Times New Roman" w:hAnsi="Arial" w:cs="Arial"/>
          <w:b/>
          <w:sz w:val="20"/>
          <w:szCs w:val="20"/>
          <w:lang w:eastAsia="en-IE"/>
        </w:rPr>
      </w:pPr>
      <w:r w:rsidRPr="00AF7A5C">
        <w:rPr>
          <w:rStyle w:val="A5"/>
          <w:rFonts w:ascii="Arial" w:eastAsia="Times New Roman" w:hAnsi="Arial" w:cs="Arial"/>
          <w:b/>
          <w:sz w:val="20"/>
          <w:szCs w:val="20"/>
          <w:lang w:eastAsia="en-IE"/>
        </w:rPr>
        <w:t>New Codes</w:t>
      </w:r>
    </w:p>
    <w:p w14:paraId="0B686B1F" w14:textId="77777777" w:rsidR="00AF7A5C" w:rsidRPr="00AF7A5C" w:rsidRDefault="00AF7A5C" w:rsidP="00C97AA6">
      <w:pPr>
        <w:pStyle w:val="Default"/>
        <w:jc w:val="both"/>
        <w:rPr>
          <w:rStyle w:val="A5"/>
          <w:rFonts w:ascii="Arial" w:eastAsia="Times New Roman" w:hAnsi="Arial" w:cs="Arial"/>
          <w:sz w:val="20"/>
          <w:szCs w:val="20"/>
          <w:lang w:eastAsia="en-IE"/>
        </w:rPr>
      </w:pPr>
    </w:p>
    <w:p w14:paraId="3FE23E55" w14:textId="77777777" w:rsidR="00AF7A5C" w:rsidRPr="00AF7A5C" w:rsidRDefault="00AF7A5C" w:rsidP="00C97AA6">
      <w:pPr>
        <w:pStyle w:val="Default"/>
        <w:jc w:val="both"/>
        <w:rPr>
          <w:rStyle w:val="A5"/>
          <w:rFonts w:ascii="Arial" w:eastAsia="Times New Roman" w:hAnsi="Arial" w:cs="Arial"/>
          <w:sz w:val="20"/>
          <w:szCs w:val="20"/>
          <w:lang w:eastAsia="en-IE"/>
        </w:rPr>
      </w:pPr>
      <w:r w:rsidRPr="00AF7A5C">
        <w:rPr>
          <w:rStyle w:val="A5"/>
          <w:rFonts w:ascii="Arial" w:eastAsia="Times New Roman" w:hAnsi="Arial" w:cs="Arial"/>
          <w:sz w:val="20"/>
          <w:szCs w:val="20"/>
          <w:lang w:eastAsia="en-IE"/>
        </w:rPr>
        <w:t>Dealings in the Company’s Ordinary Shares shall commence today under the following new codes.</w:t>
      </w:r>
    </w:p>
    <w:p w14:paraId="657E13F3" w14:textId="77777777" w:rsidR="006B679A" w:rsidRPr="00AF7A5C" w:rsidRDefault="006B679A" w:rsidP="00C97AA6">
      <w:pPr>
        <w:pStyle w:val="Default"/>
        <w:jc w:val="both"/>
        <w:rPr>
          <w:rStyle w:val="A5"/>
          <w:rFonts w:ascii="Arial" w:eastAsia="Times New Roman" w:hAnsi="Arial" w:cs="Arial"/>
          <w:sz w:val="20"/>
          <w:szCs w:val="20"/>
          <w:lang w:eastAsia="en-IE"/>
        </w:rPr>
      </w:pPr>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3"/>
        <w:gridCol w:w="4678"/>
      </w:tblGrid>
      <w:tr w:rsidR="00AF7A5C" w:rsidRPr="00AF7A5C" w14:paraId="21DAE379" w14:textId="77777777" w:rsidTr="00AF7A5C">
        <w:tc>
          <w:tcPr>
            <w:tcW w:w="4243" w:type="dxa"/>
            <w:tcMar>
              <w:top w:w="0" w:type="dxa"/>
              <w:left w:w="108" w:type="dxa"/>
              <w:bottom w:w="0" w:type="dxa"/>
              <w:right w:w="108" w:type="dxa"/>
            </w:tcMar>
            <w:hideMark/>
          </w:tcPr>
          <w:p w14:paraId="30D03FA6" w14:textId="77777777" w:rsidR="00AF7A5C" w:rsidRPr="00AF7A5C" w:rsidRDefault="00AF7A5C" w:rsidP="00131B81">
            <w:pPr>
              <w:rPr>
                <w:rFonts w:ascii="Arial" w:hAnsi="Arial" w:cs="Arial"/>
                <w:sz w:val="16"/>
                <w:szCs w:val="20"/>
                <w:lang w:eastAsia="en-IE"/>
              </w:rPr>
            </w:pPr>
            <w:r w:rsidRPr="00AF7A5C">
              <w:rPr>
                <w:rFonts w:ascii="Arial" w:hAnsi="Arial" w:cs="Arial"/>
                <w:bCs/>
                <w:sz w:val="16"/>
                <w:szCs w:val="20"/>
                <w:lang w:eastAsia="en-IE"/>
              </w:rPr>
              <w:t>Irish Sedol</w:t>
            </w:r>
          </w:p>
        </w:tc>
        <w:tc>
          <w:tcPr>
            <w:tcW w:w="4678" w:type="dxa"/>
            <w:tcMar>
              <w:top w:w="0" w:type="dxa"/>
              <w:left w:w="108" w:type="dxa"/>
              <w:bottom w:w="0" w:type="dxa"/>
              <w:right w:w="108" w:type="dxa"/>
            </w:tcMar>
          </w:tcPr>
          <w:p w14:paraId="40268C23" w14:textId="77777777" w:rsidR="00AF7A5C" w:rsidRPr="00AF7A5C" w:rsidRDefault="00AF7A5C" w:rsidP="00131B81">
            <w:pPr>
              <w:pStyle w:val="PlainText"/>
              <w:rPr>
                <w:rFonts w:ascii="Arial" w:hAnsi="Arial" w:cs="Arial"/>
                <w:sz w:val="16"/>
              </w:rPr>
            </w:pPr>
            <w:r w:rsidRPr="00AF7A5C">
              <w:rPr>
                <w:rFonts w:ascii="Arial" w:hAnsi="Arial" w:cs="Arial"/>
                <w:sz w:val="16"/>
              </w:rPr>
              <w:t>BD97C17</w:t>
            </w:r>
          </w:p>
        </w:tc>
      </w:tr>
      <w:tr w:rsidR="00AF7A5C" w:rsidRPr="00AF7A5C" w14:paraId="57958424" w14:textId="77777777" w:rsidTr="00AF7A5C">
        <w:tc>
          <w:tcPr>
            <w:tcW w:w="4243" w:type="dxa"/>
            <w:tcMar>
              <w:top w:w="0" w:type="dxa"/>
              <w:left w:w="108" w:type="dxa"/>
              <w:bottom w:w="0" w:type="dxa"/>
              <w:right w:w="108" w:type="dxa"/>
            </w:tcMar>
            <w:hideMark/>
          </w:tcPr>
          <w:p w14:paraId="65555ABE" w14:textId="77777777" w:rsidR="00AF7A5C" w:rsidRPr="00AF7A5C" w:rsidRDefault="00AF7A5C" w:rsidP="00131B81">
            <w:pPr>
              <w:rPr>
                <w:rFonts w:ascii="Arial" w:hAnsi="Arial" w:cs="Arial"/>
                <w:bCs/>
                <w:sz w:val="16"/>
                <w:szCs w:val="20"/>
                <w:lang w:eastAsia="en-IE"/>
              </w:rPr>
            </w:pPr>
            <w:r w:rsidRPr="00AF7A5C">
              <w:rPr>
                <w:rFonts w:ascii="Arial" w:hAnsi="Arial" w:cs="Arial"/>
                <w:bCs/>
                <w:sz w:val="16"/>
                <w:szCs w:val="20"/>
                <w:lang w:eastAsia="en-IE"/>
              </w:rPr>
              <w:t>ISIN</w:t>
            </w:r>
          </w:p>
        </w:tc>
        <w:tc>
          <w:tcPr>
            <w:tcW w:w="4678" w:type="dxa"/>
            <w:tcMar>
              <w:top w:w="0" w:type="dxa"/>
              <w:left w:w="108" w:type="dxa"/>
              <w:bottom w:w="0" w:type="dxa"/>
              <w:right w:w="108" w:type="dxa"/>
            </w:tcMar>
          </w:tcPr>
          <w:p w14:paraId="1687174C" w14:textId="77777777" w:rsidR="00AF7A5C" w:rsidRPr="00AF7A5C" w:rsidRDefault="00AF7A5C" w:rsidP="00131B81">
            <w:pPr>
              <w:pStyle w:val="PlainText"/>
              <w:rPr>
                <w:rFonts w:ascii="Arial" w:hAnsi="Arial" w:cs="Arial"/>
                <w:bCs/>
                <w:sz w:val="16"/>
              </w:rPr>
            </w:pPr>
            <w:r w:rsidRPr="00AF7A5C">
              <w:rPr>
                <w:rFonts w:ascii="Arial" w:hAnsi="Arial" w:cs="Arial"/>
                <w:sz w:val="16"/>
              </w:rPr>
              <w:t>IE00BD97C178</w:t>
            </w:r>
          </w:p>
        </w:tc>
      </w:tr>
      <w:tr w:rsidR="00AF7A5C" w:rsidRPr="00AF7A5C" w14:paraId="783326E5" w14:textId="77777777" w:rsidTr="00AF7A5C">
        <w:tc>
          <w:tcPr>
            <w:tcW w:w="4243" w:type="dxa"/>
            <w:tcMar>
              <w:top w:w="0" w:type="dxa"/>
              <w:left w:w="108" w:type="dxa"/>
              <w:bottom w:w="0" w:type="dxa"/>
              <w:right w:w="108" w:type="dxa"/>
            </w:tcMar>
            <w:hideMark/>
          </w:tcPr>
          <w:p w14:paraId="1DFB4880" w14:textId="77777777" w:rsidR="00AF7A5C" w:rsidRPr="00AF7A5C" w:rsidRDefault="00AF7A5C" w:rsidP="00AF7A5C">
            <w:pPr>
              <w:rPr>
                <w:rFonts w:ascii="Arial" w:hAnsi="Arial" w:cs="Arial"/>
                <w:sz w:val="16"/>
                <w:szCs w:val="20"/>
                <w:lang w:eastAsia="en-IE"/>
              </w:rPr>
            </w:pPr>
            <w:r w:rsidRPr="00AF7A5C">
              <w:rPr>
                <w:rFonts w:ascii="Arial" w:hAnsi="Arial" w:cs="Arial"/>
                <w:bCs/>
                <w:sz w:val="16"/>
                <w:szCs w:val="20"/>
                <w:lang w:eastAsia="en-IE"/>
              </w:rPr>
              <w:t>WKN</w:t>
            </w:r>
          </w:p>
        </w:tc>
        <w:tc>
          <w:tcPr>
            <w:tcW w:w="4678" w:type="dxa"/>
            <w:tcMar>
              <w:top w:w="0" w:type="dxa"/>
              <w:left w:w="108" w:type="dxa"/>
              <w:bottom w:w="0" w:type="dxa"/>
              <w:right w:w="108" w:type="dxa"/>
            </w:tcMar>
          </w:tcPr>
          <w:p w14:paraId="4C190DCC" w14:textId="77777777" w:rsidR="00AF7A5C" w:rsidRPr="00AF7A5C" w:rsidRDefault="00AF7A5C" w:rsidP="00131B81">
            <w:pPr>
              <w:rPr>
                <w:rFonts w:ascii="Arial" w:hAnsi="Arial" w:cs="Arial"/>
                <w:bCs/>
                <w:sz w:val="16"/>
                <w:szCs w:val="20"/>
              </w:rPr>
            </w:pPr>
            <w:r w:rsidRPr="00AF7A5C">
              <w:rPr>
                <w:rFonts w:ascii="Arial" w:hAnsi="Arial" w:cs="Arial"/>
                <w:sz w:val="16"/>
                <w:szCs w:val="20"/>
                <w:lang w:val="de-DE"/>
              </w:rPr>
              <w:t>A2JK2S</w:t>
            </w:r>
          </w:p>
        </w:tc>
      </w:tr>
      <w:tr w:rsidR="00AF7A5C" w:rsidRPr="00AF7A5C" w14:paraId="5213F19E" w14:textId="77777777" w:rsidTr="00AF7A5C">
        <w:tc>
          <w:tcPr>
            <w:tcW w:w="4243" w:type="dxa"/>
            <w:tcMar>
              <w:top w:w="0" w:type="dxa"/>
              <w:left w:w="108" w:type="dxa"/>
              <w:bottom w:w="0" w:type="dxa"/>
              <w:right w:w="108" w:type="dxa"/>
            </w:tcMar>
            <w:hideMark/>
          </w:tcPr>
          <w:p w14:paraId="5D680C96" w14:textId="77777777" w:rsidR="00AF7A5C" w:rsidRPr="00AF7A5C" w:rsidRDefault="00AF7A5C" w:rsidP="00131B81">
            <w:pPr>
              <w:rPr>
                <w:rFonts w:ascii="Arial" w:hAnsi="Arial" w:cs="Arial"/>
                <w:bCs/>
                <w:sz w:val="16"/>
                <w:szCs w:val="20"/>
                <w:lang w:eastAsia="en-IE"/>
              </w:rPr>
            </w:pPr>
            <w:r w:rsidRPr="00AF7A5C">
              <w:rPr>
                <w:rFonts w:ascii="Arial" w:hAnsi="Arial" w:cs="Arial"/>
                <w:bCs/>
                <w:sz w:val="16"/>
                <w:szCs w:val="20"/>
                <w:lang w:eastAsia="en-IE"/>
              </w:rPr>
              <w:t>Mnemonic</w:t>
            </w:r>
          </w:p>
        </w:tc>
        <w:tc>
          <w:tcPr>
            <w:tcW w:w="4678" w:type="dxa"/>
            <w:tcMar>
              <w:top w:w="0" w:type="dxa"/>
              <w:left w:w="108" w:type="dxa"/>
              <w:bottom w:w="0" w:type="dxa"/>
              <w:right w:w="108" w:type="dxa"/>
            </w:tcMar>
          </w:tcPr>
          <w:p w14:paraId="7BB7B7D2" w14:textId="77777777" w:rsidR="00AF7A5C" w:rsidRPr="00AF7A5C" w:rsidRDefault="00AF7A5C" w:rsidP="00131B81">
            <w:pPr>
              <w:rPr>
                <w:rFonts w:ascii="Arial" w:hAnsi="Arial" w:cs="Arial"/>
                <w:bCs/>
                <w:sz w:val="16"/>
                <w:szCs w:val="20"/>
                <w:lang w:eastAsia="en-IE"/>
              </w:rPr>
            </w:pPr>
            <w:r w:rsidRPr="00AF7A5C">
              <w:rPr>
                <w:rFonts w:ascii="Arial" w:hAnsi="Arial" w:cs="Arial"/>
                <w:sz w:val="16"/>
                <w:szCs w:val="20"/>
                <w:lang w:val="de-DE"/>
              </w:rPr>
              <w:t>DQ7A</w:t>
            </w:r>
          </w:p>
        </w:tc>
      </w:tr>
    </w:tbl>
    <w:p w14:paraId="62291DD4" w14:textId="77777777" w:rsidR="006B679A" w:rsidRPr="00AF7A5C" w:rsidRDefault="006B679A" w:rsidP="00C97AA6">
      <w:pPr>
        <w:pStyle w:val="Default"/>
        <w:jc w:val="both"/>
        <w:rPr>
          <w:rStyle w:val="A5"/>
          <w:rFonts w:ascii="Arial" w:eastAsia="Times New Roman" w:hAnsi="Arial" w:cs="Arial"/>
          <w:sz w:val="20"/>
          <w:szCs w:val="20"/>
          <w:lang w:eastAsia="en-IE"/>
        </w:rPr>
      </w:pPr>
    </w:p>
    <w:p w14:paraId="5E6A2947" w14:textId="77777777" w:rsidR="006B679A" w:rsidRPr="00AF7A5C" w:rsidRDefault="006B679A" w:rsidP="00C97AA6">
      <w:pPr>
        <w:pStyle w:val="Default"/>
        <w:jc w:val="both"/>
        <w:rPr>
          <w:rStyle w:val="A5"/>
          <w:rFonts w:ascii="Arial" w:eastAsia="Times New Roman" w:hAnsi="Arial" w:cs="Arial"/>
          <w:sz w:val="20"/>
          <w:szCs w:val="20"/>
          <w:lang w:eastAsia="en-IE"/>
        </w:rPr>
      </w:pPr>
    </w:p>
    <w:p w14:paraId="093962C0" w14:textId="77777777" w:rsidR="00423751" w:rsidRPr="00423751" w:rsidRDefault="00423751" w:rsidP="00423751">
      <w:pPr>
        <w:spacing w:line="300" w:lineRule="atLeast"/>
        <w:jc w:val="both"/>
        <w:rPr>
          <w:rFonts w:ascii="Arial" w:eastAsia="Times New Roman" w:hAnsi="Arial" w:cs="Arial"/>
          <w:color w:val="000000"/>
          <w:sz w:val="20"/>
          <w:szCs w:val="20"/>
        </w:rPr>
      </w:pPr>
      <w:r w:rsidRPr="00423751">
        <w:rPr>
          <w:rFonts w:ascii="Arial" w:eastAsia="Times New Roman" w:hAnsi="Arial" w:cs="Arial"/>
          <w:b/>
          <w:bCs/>
          <w:i/>
          <w:iCs/>
          <w:color w:val="000000"/>
          <w:sz w:val="20"/>
          <w:szCs w:val="20"/>
        </w:rPr>
        <w:t>Enquiries:</w:t>
      </w:r>
    </w:p>
    <w:p w14:paraId="798E0EBA" w14:textId="77777777" w:rsidR="00423751" w:rsidRPr="00423751" w:rsidRDefault="00423751" w:rsidP="00867C5B">
      <w:pPr>
        <w:pStyle w:val="Default"/>
        <w:rPr>
          <w:rFonts w:ascii="Arial" w:hAnsi="Arial" w:cs="Arial"/>
          <w:sz w:val="20"/>
          <w:szCs w:val="20"/>
        </w:rPr>
      </w:pPr>
    </w:p>
    <w:tbl>
      <w:tblPr>
        <w:tblW w:w="0" w:type="auto"/>
        <w:tblInd w:w="-108" w:type="dxa"/>
        <w:tblLayout w:type="fixed"/>
        <w:tblLook w:val="0000" w:firstRow="0" w:lastRow="0" w:firstColumn="0" w:lastColumn="0" w:noHBand="0" w:noVBand="0"/>
      </w:tblPr>
      <w:tblGrid>
        <w:gridCol w:w="3652"/>
        <w:gridCol w:w="3252"/>
      </w:tblGrid>
      <w:tr w:rsidR="00D4379D" w:rsidRPr="00423751" w14:paraId="4C58A61F" w14:textId="77777777" w:rsidTr="00423751">
        <w:trPr>
          <w:trHeight w:val="98"/>
        </w:trPr>
        <w:tc>
          <w:tcPr>
            <w:tcW w:w="6904" w:type="dxa"/>
            <w:gridSpan w:val="2"/>
          </w:tcPr>
          <w:p w14:paraId="59D7F180" w14:textId="77777777" w:rsidR="00D4379D" w:rsidRPr="00423751" w:rsidRDefault="00F173F7" w:rsidP="00D4379D">
            <w:pPr>
              <w:autoSpaceDE w:val="0"/>
              <w:autoSpaceDN w:val="0"/>
              <w:adjustRightInd w:val="0"/>
              <w:rPr>
                <w:rFonts w:ascii="Arial" w:hAnsi="Arial" w:cs="Arial"/>
                <w:color w:val="000000"/>
                <w:sz w:val="20"/>
                <w:szCs w:val="20"/>
              </w:rPr>
            </w:pPr>
            <w:r w:rsidRPr="00423751">
              <w:rPr>
                <w:rFonts w:ascii="Arial" w:hAnsi="Arial" w:cs="Arial"/>
                <w:b/>
                <w:bCs/>
                <w:color w:val="000000"/>
                <w:sz w:val="20"/>
                <w:szCs w:val="20"/>
              </w:rPr>
              <w:t>Donegal Investment Group</w:t>
            </w:r>
            <w:r w:rsidR="00D4379D" w:rsidRPr="00423751">
              <w:rPr>
                <w:rFonts w:ascii="Arial" w:hAnsi="Arial" w:cs="Arial"/>
                <w:b/>
                <w:bCs/>
                <w:color w:val="000000"/>
                <w:sz w:val="20"/>
                <w:szCs w:val="20"/>
              </w:rPr>
              <w:t xml:space="preserve"> plc </w:t>
            </w:r>
          </w:p>
        </w:tc>
      </w:tr>
      <w:tr w:rsidR="00D4379D" w:rsidRPr="00423751" w14:paraId="160F4BCC" w14:textId="77777777" w:rsidTr="00423751">
        <w:trPr>
          <w:trHeight w:val="100"/>
        </w:trPr>
        <w:tc>
          <w:tcPr>
            <w:tcW w:w="3652" w:type="dxa"/>
          </w:tcPr>
          <w:p w14:paraId="7FE9DF4E" w14:textId="77777777" w:rsidR="00D4379D" w:rsidRPr="00423751" w:rsidRDefault="00F173F7"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Padraic Lenehan</w:t>
            </w:r>
            <w:r w:rsidR="00D4379D" w:rsidRPr="00423751">
              <w:rPr>
                <w:rFonts w:ascii="Arial" w:hAnsi="Arial" w:cs="Arial"/>
                <w:color w:val="000000"/>
                <w:sz w:val="20"/>
                <w:szCs w:val="20"/>
              </w:rPr>
              <w:t xml:space="preserve">, </w:t>
            </w:r>
            <w:r w:rsidRPr="00423751">
              <w:rPr>
                <w:rFonts w:ascii="Arial" w:hAnsi="Arial" w:cs="Arial"/>
                <w:color w:val="000000"/>
                <w:sz w:val="20"/>
                <w:szCs w:val="20"/>
              </w:rPr>
              <w:t>Finance Director</w:t>
            </w:r>
            <w:r w:rsidR="00D4379D" w:rsidRPr="00423751">
              <w:rPr>
                <w:rFonts w:ascii="Arial" w:hAnsi="Arial" w:cs="Arial"/>
                <w:color w:val="000000"/>
                <w:sz w:val="20"/>
                <w:szCs w:val="20"/>
              </w:rPr>
              <w:t xml:space="preserve"> </w:t>
            </w:r>
          </w:p>
        </w:tc>
        <w:tc>
          <w:tcPr>
            <w:tcW w:w="3252" w:type="dxa"/>
          </w:tcPr>
          <w:p w14:paraId="4A28B0B1" w14:textId="77777777" w:rsidR="00D4379D" w:rsidRPr="00423751" w:rsidRDefault="00D4379D"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Tel: +353</w:t>
            </w:r>
            <w:r w:rsidR="00F173F7" w:rsidRPr="00423751">
              <w:rPr>
                <w:rFonts w:ascii="Arial" w:hAnsi="Arial" w:cs="Arial"/>
                <w:color w:val="000000"/>
                <w:sz w:val="20"/>
                <w:szCs w:val="20"/>
              </w:rPr>
              <w:t>749121766</w:t>
            </w:r>
            <w:r w:rsidRPr="00423751">
              <w:rPr>
                <w:rFonts w:ascii="Arial" w:hAnsi="Arial" w:cs="Arial"/>
                <w:color w:val="000000"/>
                <w:sz w:val="20"/>
                <w:szCs w:val="20"/>
              </w:rPr>
              <w:t xml:space="preserve">  </w:t>
            </w:r>
          </w:p>
        </w:tc>
      </w:tr>
      <w:tr w:rsidR="00423751" w:rsidRPr="00423751" w14:paraId="3977C08B" w14:textId="77777777" w:rsidTr="00423751">
        <w:trPr>
          <w:trHeight w:val="100"/>
        </w:trPr>
        <w:tc>
          <w:tcPr>
            <w:tcW w:w="3652" w:type="dxa"/>
          </w:tcPr>
          <w:p w14:paraId="63DB8E40" w14:textId="77777777" w:rsidR="00423751" w:rsidRPr="00423751" w:rsidRDefault="00423751" w:rsidP="00D4379D">
            <w:pPr>
              <w:autoSpaceDE w:val="0"/>
              <w:autoSpaceDN w:val="0"/>
              <w:adjustRightInd w:val="0"/>
              <w:rPr>
                <w:rFonts w:ascii="Arial" w:hAnsi="Arial" w:cs="Arial"/>
                <w:color w:val="000000"/>
                <w:sz w:val="20"/>
                <w:szCs w:val="20"/>
              </w:rPr>
            </w:pPr>
          </w:p>
        </w:tc>
        <w:tc>
          <w:tcPr>
            <w:tcW w:w="3252" w:type="dxa"/>
          </w:tcPr>
          <w:p w14:paraId="78ED0F7A" w14:textId="77777777" w:rsidR="00423751" w:rsidRPr="00423751" w:rsidRDefault="00423751" w:rsidP="00D4379D">
            <w:pPr>
              <w:autoSpaceDE w:val="0"/>
              <w:autoSpaceDN w:val="0"/>
              <w:adjustRightInd w:val="0"/>
              <w:rPr>
                <w:rFonts w:ascii="Arial" w:hAnsi="Arial" w:cs="Arial"/>
                <w:color w:val="000000"/>
                <w:sz w:val="20"/>
                <w:szCs w:val="20"/>
              </w:rPr>
            </w:pPr>
          </w:p>
        </w:tc>
      </w:tr>
      <w:tr w:rsidR="00D4379D" w:rsidRPr="00423751" w14:paraId="3DB62D80" w14:textId="77777777" w:rsidTr="00423751">
        <w:trPr>
          <w:trHeight w:val="98"/>
        </w:trPr>
        <w:tc>
          <w:tcPr>
            <w:tcW w:w="6904" w:type="dxa"/>
            <w:gridSpan w:val="2"/>
          </w:tcPr>
          <w:p w14:paraId="42226CD6" w14:textId="77777777" w:rsidR="00423751" w:rsidRPr="00423751" w:rsidRDefault="00423751" w:rsidP="00D4379D">
            <w:pPr>
              <w:autoSpaceDE w:val="0"/>
              <w:autoSpaceDN w:val="0"/>
              <w:adjustRightInd w:val="0"/>
              <w:rPr>
                <w:rFonts w:ascii="Arial" w:hAnsi="Arial" w:cs="Arial"/>
                <w:b/>
                <w:color w:val="000000"/>
                <w:sz w:val="20"/>
                <w:szCs w:val="20"/>
              </w:rPr>
            </w:pPr>
            <w:r w:rsidRPr="00423751">
              <w:rPr>
                <w:rFonts w:ascii="Arial" w:hAnsi="Arial" w:cs="Arial"/>
                <w:b/>
                <w:color w:val="000000"/>
                <w:sz w:val="20"/>
                <w:szCs w:val="20"/>
              </w:rPr>
              <w:t>Investec Bank plc (Irish Branch)</w:t>
            </w:r>
          </w:p>
        </w:tc>
      </w:tr>
      <w:tr w:rsidR="00D4379D" w:rsidRPr="00423751" w14:paraId="7A042987" w14:textId="77777777" w:rsidTr="00423751">
        <w:trPr>
          <w:trHeight w:val="100"/>
        </w:trPr>
        <w:tc>
          <w:tcPr>
            <w:tcW w:w="3652" w:type="dxa"/>
          </w:tcPr>
          <w:p w14:paraId="10FC6696" w14:textId="77777777" w:rsidR="00D4379D" w:rsidRPr="00423751" w:rsidRDefault="00423751"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Jonathan Simmons, Director</w:t>
            </w:r>
          </w:p>
        </w:tc>
        <w:tc>
          <w:tcPr>
            <w:tcW w:w="3252" w:type="dxa"/>
          </w:tcPr>
          <w:p w14:paraId="3DF84F3A" w14:textId="77777777" w:rsidR="00D4379D" w:rsidRPr="00423751" w:rsidRDefault="00423751"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Tel: +35314210000</w:t>
            </w:r>
          </w:p>
        </w:tc>
      </w:tr>
    </w:tbl>
    <w:p w14:paraId="0CBA087F" w14:textId="77777777" w:rsidR="00662839" w:rsidRPr="00ED0E41" w:rsidRDefault="00662839" w:rsidP="00867C5B">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37"/>
        <w:gridCol w:w="3337"/>
      </w:tblGrid>
      <w:tr w:rsidR="00D4379D" w:rsidRPr="00ED0E41" w14:paraId="7A9C01BD" w14:textId="77777777">
        <w:trPr>
          <w:trHeight w:val="98"/>
        </w:trPr>
        <w:tc>
          <w:tcPr>
            <w:tcW w:w="6674" w:type="dxa"/>
            <w:gridSpan w:val="2"/>
          </w:tcPr>
          <w:p w14:paraId="57E4ABB4" w14:textId="77777777" w:rsidR="00D4379D" w:rsidRPr="00ED0E41" w:rsidRDefault="00D4379D" w:rsidP="00D4379D">
            <w:pPr>
              <w:autoSpaceDE w:val="0"/>
              <w:autoSpaceDN w:val="0"/>
              <w:adjustRightInd w:val="0"/>
              <w:rPr>
                <w:rFonts w:ascii="Times New Roman" w:hAnsi="Times New Roman"/>
                <w:color w:val="000000"/>
              </w:rPr>
            </w:pPr>
          </w:p>
        </w:tc>
      </w:tr>
      <w:tr w:rsidR="00D4379D" w:rsidRPr="00ED0E41" w14:paraId="25CFC899" w14:textId="77777777" w:rsidTr="00F173F7">
        <w:trPr>
          <w:trHeight w:val="89"/>
        </w:trPr>
        <w:tc>
          <w:tcPr>
            <w:tcW w:w="3337" w:type="dxa"/>
          </w:tcPr>
          <w:p w14:paraId="4DFB9856" w14:textId="77777777" w:rsidR="00D4379D" w:rsidRPr="00ED0E41" w:rsidRDefault="00D4379D" w:rsidP="00D4379D">
            <w:pPr>
              <w:autoSpaceDE w:val="0"/>
              <w:autoSpaceDN w:val="0"/>
              <w:adjustRightInd w:val="0"/>
              <w:rPr>
                <w:rFonts w:ascii="Times New Roman" w:hAnsi="Times New Roman"/>
                <w:color w:val="000000"/>
              </w:rPr>
            </w:pPr>
          </w:p>
        </w:tc>
        <w:tc>
          <w:tcPr>
            <w:tcW w:w="3337" w:type="dxa"/>
          </w:tcPr>
          <w:p w14:paraId="480FEBA4" w14:textId="77777777" w:rsidR="00D4379D" w:rsidRPr="00ED0E41" w:rsidRDefault="00D4379D" w:rsidP="00D4379D">
            <w:pPr>
              <w:autoSpaceDE w:val="0"/>
              <w:autoSpaceDN w:val="0"/>
              <w:adjustRightInd w:val="0"/>
              <w:rPr>
                <w:rFonts w:ascii="Times New Roman" w:hAnsi="Times New Roman"/>
                <w:color w:val="000000"/>
              </w:rPr>
            </w:pPr>
            <w:r w:rsidRPr="00ED0E41">
              <w:rPr>
                <w:rFonts w:ascii="Times New Roman" w:hAnsi="Times New Roman"/>
                <w:color w:val="000000"/>
              </w:rPr>
              <w:t xml:space="preserve"> </w:t>
            </w:r>
          </w:p>
        </w:tc>
      </w:tr>
    </w:tbl>
    <w:p w14:paraId="2F4F5D24" w14:textId="77777777" w:rsidR="00D4379D" w:rsidRPr="003219D1" w:rsidRDefault="00D4379D" w:rsidP="00867C5B">
      <w:pPr>
        <w:pStyle w:val="Default"/>
        <w:rPr>
          <w:sz w:val="20"/>
          <w:szCs w:val="20"/>
        </w:rPr>
      </w:pPr>
    </w:p>
    <w:sectPr w:rsidR="00D4379D" w:rsidRPr="003219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B806" w14:textId="77777777" w:rsidR="00F133FC" w:rsidRDefault="00F133FC" w:rsidP="00F133FC">
      <w:r>
        <w:separator/>
      </w:r>
    </w:p>
  </w:endnote>
  <w:endnote w:type="continuationSeparator" w:id="0">
    <w:p w14:paraId="4FED1B56" w14:textId="77777777" w:rsidR="00F133FC" w:rsidRDefault="00F133FC" w:rsidP="00F1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F96E" w14:textId="77777777" w:rsidR="00F133FC" w:rsidRDefault="00F13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4D82" w14:textId="77777777" w:rsidR="00F133FC" w:rsidRDefault="00F13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3CD2" w14:textId="77777777" w:rsidR="00F133FC" w:rsidRDefault="00F13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139D7" w14:textId="77777777" w:rsidR="00F133FC" w:rsidRDefault="00F133FC" w:rsidP="00F133FC">
      <w:r>
        <w:separator/>
      </w:r>
    </w:p>
  </w:footnote>
  <w:footnote w:type="continuationSeparator" w:id="0">
    <w:p w14:paraId="3694D1D0" w14:textId="77777777" w:rsidR="00F133FC" w:rsidRDefault="00F133FC" w:rsidP="00F13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CDFB8" w14:textId="77777777" w:rsidR="00F133FC" w:rsidRDefault="00F13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4C8C" w14:textId="77777777" w:rsidR="00F133FC" w:rsidRDefault="00F13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855E" w14:textId="77777777" w:rsidR="00F133FC" w:rsidRDefault="00F13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912522"/>
    <w:multiLevelType w:val="hybridMultilevel"/>
    <w:tmpl w:val="F957B1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52242"/>
    <w:multiLevelType w:val="hybridMultilevel"/>
    <w:tmpl w:val="BE9DE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DE3C04"/>
    <w:multiLevelType w:val="hybridMultilevel"/>
    <w:tmpl w:val="46409B2E"/>
    <w:lvl w:ilvl="0" w:tplc="CC58F83C">
      <w:numFmt w:val="bullet"/>
      <w:lvlText w:val="·"/>
      <w:lvlJc w:val="left"/>
      <w:pPr>
        <w:ind w:left="795" w:hanging="435"/>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567365"/>
    <w:multiLevelType w:val="hybridMultilevel"/>
    <w:tmpl w:val="64E640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A516B3"/>
    <w:multiLevelType w:val="hybridMultilevel"/>
    <w:tmpl w:val="0EAAD7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EB6782"/>
    <w:rsid w:val="00011352"/>
    <w:rsid w:val="000456A1"/>
    <w:rsid w:val="00067351"/>
    <w:rsid w:val="00074433"/>
    <w:rsid w:val="000A4044"/>
    <w:rsid w:val="000A6D40"/>
    <w:rsid w:val="000B5232"/>
    <w:rsid w:val="000C23E8"/>
    <w:rsid w:val="000C3E4A"/>
    <w:rsid w:val="000C645C"/>
    <w:rsid w:val="001100EF"/>
    <w:rsid w:val="00113997"/>
    <w:rsid w:val="00122EE1"/>
    <w:rsid w:val="001369D6"/>
    <w:rsid w:val="00162B27"/>
    <w:rsid w:val="00184AC8"/>
    <w:rsid w:val="001911A9"/>
    <w:rsid w:val="001967C2"/>
    <w:rsid w:val="001C3895"/>
    <w:rsid w:val="001E5000"/>
    <w:rsid w:val="001F3E46"/>
    <w:rsid w:val="002055B2"/>
    <w:rsid w:val="00221FF9"/>
    <w:rsid w:val="002261B0"/>
    <w:rsid w:val="002367AB"/>
    <w:rsid w:val="0025224E"/>
    <w:rsid w:val="00255EE1"/>
    <w:rsid w:val="00277AC5"/>
    <w:rsid w:val="00292002"/>
    <w:rsid w:val="002951DF"/>
    <w:rsid w:val="002C3D8B"/>
    <w:rsid w:val="002D0D7B"/>
    <w:rsid w:val="002D285D"/>
    <w:rsid w:val="002D491E"/>
    <w:rsid w:val="002F0C62"/>
    <w:rsid w:val="003028BE"/>
    <w:rsid w:val="003219D1"/>
    <w:rsid w:val="00326CBD"/>
    <w:rsid w:val="003308A4"/>
    <w:rsid w:val="003608B8"/>
    <w:rsid w:val="00375958"/>
    <w:rsid w:val="003960B9"/>
    <w:rsid w:val="003A0362"/>
    <w:rsid w:val="003B0623"/>
    <w:rsid w:val="003B0BB6"/>
    <w:rsid w:val="003B2B97"/>
    <w:rsid w:val="003B60EA"/>
    <w:rsid w:val="003C2F1C"/>
    <w:rsid w:val="00401FBB"/>
    <w:rsid w:val="004054E9"/>
    <w:rsid w:val="00423751"/>
    <w:rsid w:val="00433B52"/>
    <w:rsid w:val="00451B4E"/>
    <w:rsid w:val="00480A01"/>
    <w:rsid w:val="00497BCA"/>
    <w:rsid w:val="004C65F3"/>
    <w:rsid w:val="004F03FB"/>
    <w:rsid w:val="004F4159"/>
    <w:rsid w:val="004F58C9"/>
    <w:rsid w:val="0050705C"/>
    <w:rsid w:val="005154F7"/>
    <w:rsid w:val="00517381"/>
    <w:rsid w:val="00536F0D"/>
    <w:rsid w:val="00541176"/>
    <w:rsid w:val="00562E83"/>
    <w:rsid w:val="005A15D4"/>
    <w:rsid w:val="005A2E0B"/>
    <w:rsid w:val="005C3AD3"/>
    <w:rsid w:val="005C7996"/>
    <w:rsid w:val="005E42B5"/>
    <w:rsid w:val="005F3D29"/>
    <w:rsid w:val="00631FFF"/>
    <w:rsid w:val="00650DFD"/>
    <w:rsid w:val="00655EA0"/>
    <w:rsid w:val="00662839"/>
    <w:rsid w:val="00676AF4"/>
    <w:rsid w:val="0069144D"/>
    <w:rsid w:val="006A1BD5"/>
    <w:rsid w:val="006A2ADE"/>
    <w:rsid w:val="006A37AC"/>
    <w:rsid w:val="006B679A"/>
    <w:rsid w:val="006C1323"/>
    <w:rsid w:val="006D6DA9"/>
    <w:rsid w:val="006E6BFC"/>
    <w:rsid w:val="006E6E09"/>
    <w:rsid w:val="006F2D9A"/>
    <w:rsid w:val="00712E51"/>
    <w:rsid w:val="00735228"/>
    <w:rsid w:val="00765E6C"/>
    <w:rsid w:val="007662F7"/>
    <w:rsid w:val="0077086E"/>
    <w:rsid w:val="007739CD"/>
    <w:rsid w:val="0077459D"/>
    <w:rsid w:val="00776A1B"/>
    <w:rsid w:val="00780B36"/>
    <w:rsid w:val="0078451A"/>
    <w:rsid w:val="007902E5"/>
    <w:rsid w:val="007C0844"/>
    <w:rsid w:val="007C7817"/>
    <w:rsid w:val="007D4771"/>
    <w:rsid w:val="007D558D"/>
    <w:rsid w:val="007D6A7B"/>
    <w:rsid w:val="008034CE"/>
    <w:rsid w:val="00820E51"/>
    <w:rsid w:val="00821516"/>
    <w:rsid w:val="00853598"/>
    <w:rsid w:val="00867C5B"/>
    <w:rsid w:val="008708BE"/>
    <w:rsid w:val="008A435A"/>
    <w:rsid w:val="008B7FCB"/>
    <w:rsid w:val="008C0EBC"/>
    <w:rsid w:val="008C4DCC"/>
    <w:rsid w:val="008E0971"/>
    <w:rsid w:val="008F1D93"/>
    <w:rsid w:val="0090543B"/>
    <w:rsid w:val="00910FB8"/>
    <w:rsid w:val="0091676C"/>
    <w:rsid w:val="00932421"/>
    <w:rsid w:val="00932684"/>
    <w:rsid w:val="00955AE4"/>
    <w:rsid w:val="00981ECD"/>
    <w:rsid w:val="009A71C1"/>
    <w:rsid w:val="009D174F"/>
    <w:rsid w:val="009F1BA3"/>
    <w:rsid w:val="00A110EB"/>
    <w:rsid w:val="00A11DE3"/>
    <w:rsid w:val="00A12381"/>
    <w:rsid w:val="00A230D5"/>
    <w:rsid w:val="00A26B7E"/>
    <w:rsid w:val="00A26F5C"/>
    <w:rsid w:val="00A30128"/>
    <w:rsid w:val="00A3371E"/>
    <w:rsid w:val="00A512D9"/>
    <w:rsid w:val="00A6752F"/>
    <w:rsid w:val="00A742A6"/>
    <w:rsid w:val="00A86CCC"/>
    <w:rsid w:val="00AC0BE6"/>
    <w:rsid w:val="00AC1B5B"/>
    <w:rsid w:val="00AC34E4"/>
    <w:rsid w:val="00AF7A5C"/>
    <w:rsid w:val="00B07A6D"/>
    <w:rsid w:val="00B07C95"/>
    <w:rsid w:val="00B162FF"/>
    <w:rsid w:val="00B17A9F"/>
    <w:rsid w:val="00B306C9"/>
    <w:rsid w:val="00B44E78"/>
    <w:rsid w:val="00B573F1"/>
    <w:rsid w:val="00B66ACD"/>
    <w:rsid w:val="00B70DAD"/>
    <w:rsid w:val="00B72775"/>
    <w:rsid w:val="00B77575"/>
    <w:rsid w:val="00B94024"/>
    <w:rsid w:val="00B97670"/>
    <w:rsid w:val="00BA68F5"/>
    <w:rsid w:val="00BE08AC"/>
    <w:rsid w:val="00BE7B19"/>
    <w:rsid w:val="00BF6F44"/>
    <w:rsid w:val="00C10030"/>
    <w:rsid w:val="00C16652"/>
    <w:rsid w:val="00C33562"/>
    <w:rsid w:val="00C3381C"/>
    <w:rsid w:val="00C61AB7"/>
    <w:rsid w:val="00C637A7"/>
    <w:rsid w:val="00C73AF7"/>
    <w:rsid w:val="00C87E1B"/>
    <w:rsid w:val="00C914D1"/>
    <w:rsid w:val="00C97AA6"/>
    <w:rsid w:val="00CC19BF"/>
    <w:rsid w:val="00CE0878"/>
    <w:rsid w:val="00CE22E3"/>
    <w:rsid w:val="00CF2C58"/>
    <w:rsid w:val="00D10BA4"/>
    <w:rsid w:val="00D12661"/>
    <w:rsid w:val="00D12E63"/>
    <w:rsid w:val="00D1697B"/>
    <w:rsid w:val="00D26C6B"/>
    <w:rsid w:val="00D373D6"/>
    <w:rsid w:val="00D4379D"/>
    <w:rsid w:val="00D471E1"/>
    <w:rsid w:val="00D51DD3"/>
    <w:rsid w:val="00D7412A"/>
    <w:rsid w:val="00D8628D"/>
    <w:rsid w:val="00D87B4D"/>
    <w:rsid w:val="00D90662"/>
    <w:rsid w:val="00D96CBB"/>
    <w:rsid w:val="00DA670C"/>
    <w:rsid w:val="00DB169A"/>
    <w:rsid w:val="00DB75DA"/>
    <w:rsid w:val="00DC3A97"/>
    <w:rsid w:val="00DD0372"/>
    <w:rsid w:val="00DF52D0"/>
    <w:rsid w:val="00E22A57"/>
    <w:rsid w:val="00E342C2"/>
    <w:rsid w:val="00E34F8C"/>
    <w:rsid w:val="00E35BB7"/>
    <w:rsid w:val="00E61C8C"/>
    <w:rsid w:val="00E92BF2"/>
    <w:rsid w:val="00EB6782"/>
    <w:rsid w:val="00EC5669"/>
    <w:rsid w:val="00ED0E41"/>
    <w:rsid w:val="00ED1C41"/>
    <w:rsid w:val="00ED53DB"/>
    <w:rsid w:val="00EF3307"/>
    <w:rsid w:val="00F133FC"/>
    <w:rsid w:val="00F173F7"/>
    <w:rsid w:val="00F21036"/>
    <w:rsid w:val="00F30F4E"/>
    <w:rsid w:val="00F3346E"/>
    <w:rsid w:val="00F655B3"/>
    <w:rsid w:val="00F65C41"/>
    <w:rsid w:val="00F74AFE"/>
    <w:rsid w:val="00FB5C9D"/>
    <w:rsid w:val="00FE60C9"/>
    <w:rsid w:val="00FF61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C06D"/>
  <w15:docId w15:val="{2B38A10B-C9DD-4E7D-9DC7-2FF354D5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782"/>
    <w:rPr>
      <w:color w:val="0563C1"/>
      <w:u w:val="single"/>
    </w:rPr>
  </w:style>
  <w:style w:type="paragraph" w:customStyle="1" w:styleId="bw">
    <w:name w:val="bw"/>
    <w:basedOn w:val="Normal"/>
    <w:rsid w:val="00EB6782"/>
    <w:pPr>
      <w:spacing w:before="100" w:beforeAutospacing="1" w:after="100" w:afterAutospacing="1"/>
    </w:pPr>
    <w:rPr>
      <w:rFonts w:ascii="Times New Roman" w:hAnsi="Times New Roman"/>
      <w:sz w:val="24"/>
      <w:szCs w:val="24"/>
      <w:lang w:eastAsia="en-IE"/>
    </w:rPr>
  </w:style>
  <w:style w:type="paragraph" w:customStyle="1" w:styleId="bx">
    <w:name w:val="bx"/>
    <w:basedOn w:val="Normal"/>
    <w:rsid w:val="00EB6782"/>
    <w:pPr>
      <w:spacing w:before="100" w:beforeAutospacing="1" w:after="100" w:afterAutospacing="1"/>
    </w:pPr>
    <w:rPr>
      <w:rFonts w:ascii="Times New Roman" w:hAnsi="Times New Roman"/>
      <w:sz w:val="24"/>
      <w:szCs w:val="24"/>
      <w:lang w:eastAsia="en-IE"/>
    </w:rPr>
  </w:style>
  <w:style w:type="paragraph" w:customStyle="1" w:styleId="ca">
    <w:name w:val="ca"/>
    <w:basedOn w:val="Normal"/>
    <w:rsid w:val="00EB6782"/>
    <w:pPr>
      <w:spacing w:before="100" w:beforeAutospacing="1" w:after="100" w:afterAutospacing="1"/>
    </w:pPr>
    <w:rPr>
      <w:rFonts w:ascii="Times New Roman" w:hAnsi="Times New Roman"/>
      <w:sz w:val="24"/>
      <w:szCs w:val="24"/>
      <w:lang w:eastAsia="en-IE"/>
    </w:rPr>
  </w:style>
  <w:style w:type="paragraph" w:customStyle="1" w:styleId="cb">
    <w:name w:val="cb"/>
    <w:basedOn w:val="Normal"/>
    <w:rsid w:val="00EB6782"/>
    <w:pPr>
      <w:spacing w:before="100" w:beforeAutospacing="1" w:after="100" w:afterAutospacing="1"/>
    </w:pPr>
    <w:rPr>
      <w:rFonts w:ascii="Times New Roman" w:hAnsi="Times New Roman"/>
      <w:sz w:val="24"/>
      <w:szCs w:val="24"/>
      <w:lang w:eastAsia="en-IE"/>
    </w:rPr>
  </w:style>
  <w:style w:type="paragraph" w:customStyle="1" w:styleId="cc">
    <w:name w:val="cc"/>
    <w:basedOn w:val="Normal"/>
    <w:rsid w:val="00EB6782"/>
    <w:pPr>
      <w:spacing w:before="100" w:beforeAutospacing="1" w:after="100" w:afterAutospacing="1"/>
    </w:pPr>
    <w:rPr>
      <w:rFonts w:ascii="Times New Roman" w:hAnsi="Times New Roman"/>
      <w:sz w:val="24"/>
      <w:szCs w:val="24"/>
      <w:lang w:eastAsia="en-IE"/>
    </w:rPr>
  </w:style>
  <w:style w:type="paragraph" w:customStyle="1" w:styleId="bt">
    <w:name w:val="bt"/>
    <w:basedOn w:val="Normal"/>
    <w:rsid w:val="00EB6782"/>
    <w:pPr>
      <w:spacing w:before="100" w:beforeAutospacing="1" w:after="100" w:afterAutospacing="1"/>
    </w:pPr>
    <w:rPr>
      <w:rFonts w:ascii="Times New Roman" w:hAnsi="Times New Roman"/>
      <w:sz w:val="24"/>
      <w:szCs w:val="24"/>
      <w:lang w:eastAsia="en-IE"/>
    </w:rPr>
  </w:style>
  <w:style w:type="paragraph" w:customStyle="1" w:styleId="bv">
    <w:name w:val="bv"/>
    <w:basedOn w:val="Normal"/>
    <w:rsid w:val="00EB6782"/>
    <w:pPr>
      <w:spacing w:before="100" w:beforeAutospacing="1" w:after="100" w:afterAutospacing="1"/>
    </w:pPr>
    <w:rPr>
      <w:rFonts w:ascii="Times New Roman" w:hAnsi="Times New Roman"/>
      <w:sz w:val="24"/>
      <w:szCs w:val="24"/>
      <w:lang w:eastAsia="en-IE"/>
    </w:rPr>
  </w:style>
  <w:style w:type="paragraph" w:customStyle="1" w:styleId="bz">
    <w:name w:val="bz"/>
    <w:basedOn w:val="Normal"/>
    <w:rsid w:val="00EB6782"/>
    <w:pPr>
      <w:spacing w:before="100" w:beforeAutospacing="1" w:after="100" w:afterAutospacing="1"/>
    </w:pPr>
    <w:rPr>
      <w:rFonts w:ascii="Times New Roman" w:hAnsi="Times New Roman"/>
      <w:sz w:val="24"/>
      <w:szCs w:val="24"/>
      <w:lang w:eastAsia="en-IE"/>
    </w:rPr>
  </w:style>
  <w:style w:type="paragraph" w:customStyle="1" w:styleId="cd">
    <w:name w:val="cd"/>
    <w:basedOn w:val="Normal"/>
    <w:rsid w:val="00EB6782"/>
    <w:pPr>
      <w:spacing w:before="100" w:beforeAutospacing="1" w:after="100" w:afterAutospacing="1"/>
    </w:pPr>
    <w:rPr>
      <w:rFonts w:ascii="Times New Roman" w:hAnsi="Times New Roman"/>
      <w:sz w:val="24"/>
      <w:szCs w:val="24"/>
      <w:lang w:eastAsia="en-IE"/>
    </w:rPr>
  </w:style>
  <w:style w:type="paragraph" w:customStyle="1" w:styleId="cg">
    <w:name w:val="cg"/>
    <w:basedOn w:val="Normal"/>
    <w:rsid w:val="00EB6782"/>
    <w:pPr>
      <w:spacing w:before="100" w:beforeAutospacing="1" w:after="100" w:afterAutospacing="1"/>
    </w:pPr>
    <w:rPr>
      <w:rFonts w:ascii="Times New Roman" w:hAnsi="Times New Roman"/>
      <w:sz w:val="24"/>
      <w:szCs w:val="24"/>
      <w:lang w:eastAsia="en-IE"/>
    </w:rPr>
  </w:style>
  <w:style w:type="character" w:customStyle="1" w:styleId="bp">
    <w:name w:val="bp"/>
    <w:basedOn w:val="DefaultParagraphFont"/>
    <w:rsid w:val="00EB6782"/>
  </w:style>
  <w:style w:type="character" w:customStyle="1" w:styleId="bn">
    <w:name w:val="bn"/>
    <w:basedOn w:val="DefaultParagraphFont"/>
    <w:rsid w:val="00EB6782"/>
  </w:style>
  <w:style w:type="character" w:customStyle="1" w:styleId="bg">
    <w:name w:val="bg"/>
    <w:basedOn w:val="DefaultParagraphFont"/>
    <w:rsid w:val="00EB6782"/>
  </w:style>
  <w:style w:type="character" w:customStyle="1" w:styleId="br">
    <w:name w:val="br"/>
    <w:basedOn w:val="DefaultParagraphFont"/>
    <w:rsid w:val="00EB6782"/>
  </w:style>
  <w:style w:type="character" w:customStyle="1" w:styleId="bl">
    <w:name w:val="bl"/>
    <w:basedOn w:val="DefaultParagraphFont"/>
    <w:rsid w:val="00EB6782"/>
  </w:style>
  <w:style w:type="character" w:customStyle="1" w:styleId="bj">
    <w:name w:val="bj"/>
    <w:basedOn w:val="DefaultParagraphFont"/>
    <w:rsid w:val="00EB6782"/>
  </w:style>
  <w:style w:type="character" w:customStyle="1" w:styleId="bh">
    <w:name w:val="bh"/>
    <w:basedOn w:val="DefaultParagraphFont"/>
    <w:rsid w:val="00EB6782"/>
  </w:style>
  <w:style w:type="character" w:customStyle="1" w:styleId="ce">
    <w:name w:val="ce"/>
    <w:basedOn w:val="DefaultParagraphFont"/>
    <w:rsid w:val="00EB6782"/>
  </w:style>
  <w:style w:type="character" w:customStyle="1" w:styleId="ch">
    <w:name w:val="ch"/>
    <w:basedOn w:val="DefaultParagraphFont"/>
    <w:rsid w:val="00EB6782"/>
  </w:style>
  <w:style w:type="character" w:customStyle="1" w:styleId="ci">
    <w:name w:val="ci"/>
    <w:basedOn w:val="DefaultParagraphFont"/>
    <w:rsid w:val="00EB6782"/>
  </w:style>
  <w:style w:type="paragraph" w:customStyle="1" w:styleId="Pa1">
    <w:name w:val="Pa1"/>
    <w:basedOn w:val="Normal"/>
    <w:next w:val="Normal"/>
    <w:uiPriority w:val="99"/>
    <w:rsid w:val="00EB6782"/>
    <w:pPr>
      <w:autoSpaceDE w:val="0"/>
      <w:autoSpaceDN w:val="0"/>
      <w:adjustRightInd w:val="0"/>
      <w:spacing w:line="241" w:lineRule="atLeast"/>
    </w:pPr>
    <w:rPr>
      <w:rFonts w:ascii="Times New Roman" w:hAnsi="Times New Roman"/>
      <w:sz w:val="24"/>
      <w:szCs w:val="24"/>
    </w:rPr>
  </w:style>
  <w:style w:type="character" w:customStyle="1" w:styleId="A5">
    <w:name w:val="A5"/>
    <w:uiPriority w:val="99"/>
    <w:rsid w:val="00EB6782"/>
    <w:rPr>
      <w:color w:val="000000"/>
      <w:sz w:val="22"/>
      <w:szCs w:val="22"/>
    </w:rPr>
  </w:style>
  <w:style w:type="paragraph" w:customStyle="1" w:styleId="Pa11">
    <w:name w:val="Pa11"/>
    <w:basedOn w:val="Normal"/>
    <w:next w:val="Normal"/>
    <w:uiPriority w:val="99"/>
    <w:rsid w:val="00EB6782"/>
    <w:pPr>
      <w:autoSpaceDE w:val="0"/>
      <w:autoSpaceDN w:val="0"/>
      <w:adjustRightInd w:val="0"/>
      <w:spacing w:line="241" w:lineRule="atLeast"/>
    </w:pPr>
    <w:rPr>
      <w:rFonts w:ascii="Times New Roman" w:hAnsi="Times New Roman"/>
      <w:sz w:val="24"/>
      <w:szCs w:val="24"/>
    </w:rPr>
  </w:style>
  <w:style w:type="paragraph" w:customStyle="1" w:styleId="fn">
    <w:name w:val="fn"/>
    <w:basedOn w:val="Normal"/>
    <w:rsid w:val="00EB6782"/>
    <w:pPr>
      <w:spacing w:before="100" w:beforeAutospacing="1" w:after="100" w:afterAutospacing="1"/>
    </w:pPr>
    <w:rPr>
      <w:rFonts w:ascii="Times New Roman" w:eastAsia="Times New Roman" w:hAnsi="Times New Roman"/>
      <w:sz w:val="24"/>
      <w:szCs w:val="24"/>
      <w:lang w:eastAsia="en-IE"/>
    </w:rPr>
  </w:style>
  <w:style w:type="character" w:customStyle="1" w:styleId="A6">
    <w:name w:val="A6"/>
    <w:uiPriority w:val="99"/>
    <w:rsid w:val="00FE60C9"/>
    <w:rPr>
      <w:color w:val="000000"/>
      <w:sz w:val="22"/>
      <w:szCs w:val="22"/>
    </w:rPr>
  </w:style>
  <w:style w:type="paragraph" w:customStyle="1" w:styleId="Pa14">
    <w:name w:val="Pa14"/>
    <w:basedOn w:val="Normal"/>
    <w:next w:val="Normal"/>
    <w:uiPriority w:val="99"/>
    <w:rsid w:val="00FE60C9"/>
    <w:pPr>
      <w:autoSpaceDE w:val="0"/>
      <w:autoSpaceDN w:val="0"/>
      <w:adjustRightInd w:val="0"/>
      <w:spacing w:line="241" w:lineRule="atLeast"/>
    </w:pPr>
    <w:rPr>
      <w:rFonts w:ascii="Times New Roman" w:hAnsi="Times New Roman"/>
      <w:sz w:val="24"/>
      <w:szCs w:val="24"/>
    </w:rPr>
  </w:style>
  <w:style w:type="paragraph" w:customStyle="1" w:styleId="fo">
    <w:name w:val="fo"/>
    <w:basedOn w:val="Normal"/>
    <w:rsid w:val="00FE60C9"/>
    <w:pPr>
      <w:spacing w:before="100" w:beforeAutospacing="1" w:after="100" w:afterAutospacing="1"/>
    </w:pPr>
    <w:rPr>
      <w:rFonts w:ascii="Times New Roman" w:eastAsia="Times New Roman" w:hAnsi="Times New Roman"/>
      <w:sz w:val="24"/>
      <w:szCs w:val="24"/>
      <w:lang w:eastAsia="en-IE"/>
    </w:rPr>
  </w:style>
  <w:style w:type="paragraph" w:customStyle="1" w:styleId="fp">
    <w:name w:val="fp"/>
    <w:basedOn w:val="Normal"/>
    <w:rsid w:val="00FE60C9"/>
    <w:pPr>
      <w:spacing w:before="100" w:beforeAutospacing="1" w:after="100" w:afterAutospacing="1"/>
    </w:pPr>
    <w:rPr>
      <w:rFonts w:ascii="Times New Roman" w:eastAsia="Times New Roman" w:hAnsi="Times New Roman"/>
      <w:sz w:val="24"/>
      <w:szCs w:val="24"/>
      <w:lang w:eastAsia="en-IE"/>
    </w:rPr>
  </w:style>
  <w:style w:type="paragraph" w:customStyle="1" w:styleId="Default">
    <w:name w:val="Default"/>
    <w:rsid w:val="007D6A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7D6A7B"/>
    <w:pPr>
      <w:spacing w:line="241" w:lineRule="atLeast"/>
    </w:pPr>
    <w:rPr>
      <w:color w:val="auto"/>
    </w:rPr>
  </w:style>
  <w:style w:type="paragraph" w:customStyle="1" w:styleId="Pa17">
    <w:name w:val="Pa17"/>
    <w:basedOn w:val="Default"/>
    <w:next w:val="Default"/>
    <w:uiPriority w:val="99"/>
    <w:rsid w:val="007D6A7B"/>
    <w:pPr>
      <w:spacing w:line="241" w:lineRule="atLeast"/>
    </w:pPr>
    <w:rPr>
      <w:color w:val="auto"/>
    </w:rPr>
  </w:style>
  <w:style w:type="table" w:styleId="TableGrid">
    <w:name w:val="Table Grid"/>
    <w:basedOn w:val="TableNormal"/>
    <w:uiPriority w:val="59"/>
    <w:rsid w:val="003219D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10BA4"/>
    <w:rPr>
      <w:color w:val="000000"/>
      <w:sz w:val="20"/>
      <w:szCs w:val="20"/>
    </w:rPr>
  </w:style>
  <w:style w:type="paragraph" w:styleId="BalloonText">
    <w:name w:val="Balloon Text"/>
    <w:basedOn w:val="Normal"/>
    <w:link w:val="BalloonTextChar"/>
    <w:uiPriority w:val="99"/>
    <w:semiHidden/>
    <w:unhideWhenUsed/>
    <w:rsid w:val="00F30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4E"/>
    <w:rPr>
      <w:rFonts w:ascii="Segoe UI" w:hAnsi="Segoe UI" w:cs="Segoe UI"/>
      <w:sz w:val="18"/>
      <w:szCs w:val="18"/>
    </w:rPr>
  </w:style>
  <w:style w:type="paragraph" w:styleId="ListParagraph">
    <w:name w:val="List Paragraph"/>
    <w:basedOn w:val="Normal"/>
    <w:uiPriority w:val="34"/>
    <w:qFormat/>
    <w:rsid w:val="005C3AD3"/>
    <w:pPr>
      <w:ind w:left="720"/>
      <w:contextualSpacing/>
    </w:pPr>
  </w:style>
  <w:style w:type="paragraph" w:styleId="Header">
    <w:name w:val="header"/>
    <w:basedOn w:val="Normal"/>
    <w:link w:val="HeaderChar"/>
    <w:uiPriority w:val="99"/>
    <w:unhideWhenUsed/>
    <w:rsid w:val="00F133FC"/>
    <w:pPr>
      <w:tabs>
        <w:tab w:val="center" w:pos="4513"/>
        <w:tab w:val="right" w:pos="9026"/>
      </w:tabs>
    </w:pPr>
  </w:style>
  <w:style w:type="character" w:customStyle="1" w:styleId="HeaderChar">
    <w:name w:val="Header Char"/>
    <w:basedOn w:val="DefaultParagraphFont"/>
    <w:link w:val="Header"/>
    <w:uiPriority w:val="99"/>
    <w:rsid w:val="00F133FC"/>
    <w:rPr>
      <w:rFonts w:ascii="Calibri" w:hAnsi="Calibri" w:cs="Times New Roman"/>
    </w:rPr>
  </w:style>
  <w:style w:type="paragraph" w:styleId="Footer">
    <w:name w:val="footer"/>
    <w:basedOn w:val="Normal"/>
    <w:link w:val="FooterChar"/>
    <w:uiPriority w:val="99"/>
    <w:unhideWhenUsed/>
    <w:rsid w:val="00F133FC"/>
    <w:pPr>
      <w:tabs>
        <w:tab w:val="center" w:pos="4513"/>
        <w:tab w:val="right" w:pos="9026"/>
      </w:tabs>
    </w:pPr>
  </w:style>
  <w:style w:type="character" w:customStyle="1" w:styleId="FooterChar">
    <w:name w:val="Footer Char"/>
    <w:basedOn w:val="DefaultParagraphFont"/>
    <w:link w:val="Footer"/>
    <w:uiPriority w:val="99"/>
    <w:rsid w:val="00F133FC"/>
    <w:rPr>
      <w:rFonts w:ascii="Calibri" w:hAnsi="Calibri" w:cs="Times New Roman"/>
    </w:rPr>
  </w:style>
  <w:style w:type="paragraph" w:customStyle="1" w:styleId="Pa3">
    <w:name w:val="Pa3"/>
    <w:basedOn w:val="Default"/>
    <w:next w:val="Default"/>
    <w:uiPriority w:val="99"/>
    <w:rsid w:val="00F173F7"/>
    <w:pPr>
      <w:spacing w:line="241" w:lineRule="atLeast"/>
    </w:pPr>
    <w:rPr>
      <w:color w:val="auto"/>
    </w:rPr>
  </w:style>
  <w:style w:type="paragraph" w:styleId="NormalWeb">
    <w:name w:val="Normal (Web)"/>
    <w:basedOn w:val="Normal"/>
    <w:uiPriority w:val="99"/>
    <w:semiHidden/>
    <w:unhideWhenUsed/>
    <w:rsid w:val="00292002"/>
    <w:pPr>
      <w:spacing w:before="100" w:beforeAutospacing="1" w:after="225"/>
    </w:pPr>
    <w:rPr>
      <w:rFonts w:ascii="Times New Roman" w:eastAsia="Times New Roman" w:hAnsi="Times New Roman"/>
      <w:sz w:val="24"/>
      <w:szCs w:val="24"/>
      <w:lang w:eastAsia="en-IE"/>
    </w:rPr>
  </w:style>
  <w:style w:type="paragraph" w:customStyle="1" w:styleId="ACBody1">
    <w:name w:val="AC Body 1"/>
    <w:basedOn w:val="Normal"/>
    <w:uiPriority w:val="99"/>
    <w:rsid w:val="007D558D"/>
    <w:pPr>
      <w:adjustRightInd w:val="0"/>
      <w:spacing w:after="220"/>
      <w:ind w:left="720"/>
      <w:jc w:val="both"/>
    </w:pPr>
    <w:rPr>
      <w:rFonts w:ascii="Times New Roman" w:eastAsia="Times New Roman" w:hAnsi="Times New Roman"/>
      <w:lang w:eastAsia="en-IE"/>
    </w:rPr>
  </w:style>
  <w:style w:type="paragraph" w:styleId="PlainText">
    <w:name w:val="Plain Text"/>
    <w:basedOn w:val="Normal"/>
    <w:link w:val="PlainTextChar"/>
    <w:uiPriority w:val="99"/>
    <w:unhideWhenUsed/>
    <w:rsid w:val="00AF7A5C"/>
    <w:rPr>
      <w:rFonts w:ascii="Courier New" w:hAnsi="Courier New" w:cs="Courier New"/>
      <w:sz w:val="20"/>
      <w:szCs w:val="20"/>
      <w:lang w:eastAsia="en-IE"/>
    </w:rPr>
  </w:style>
  <w:style w:type="character" w:customStyle="1" w:styleId="PlainTextChar">
    <w:name w:val="Plain Text Char"/>
    <w:basedOn w:val="DefaultParagraphFont"/>
    <w:link w:val="PlainText"/>
    <w:uiPriority w:val="99"/>
    <w:rsid w:val="00AF7A5C"/>
    <w:rPr>
      <w:rFonts w:ascii="Courier New" w:hAnsi="Courier New" w:cs="Courier New"/>
      <w:sz w:val="20"/>
      <w:szCs w:val="20"/>
      <w:lang w:eastAsia="en-IE"/>
    </w:rPr>
  </w:style>
  <w:style w:type="character" w:styleId="CommentReference">
    <w:name w:val="annotation reference"/>
    <w:basedOn w:val="DefaultParagraphFont"/>
    <w:uiPriority w:val="99"/>
    <w:semiHidden/>
    <w:unhideWhenUsed/>
    <w:rsid w:val="003B0BB6"/>
    <w:rPr>
      <w:sz w:val="16"/>
      <w:szCs w:val="16"/>
    </w:rPr>
  </w:style>
  <w:style w:type="paragraph" w:styleId="CommentText">
    <w:name w:val="annotation text"/>
    <w:basedOn w:val="Normal"/>
    <w:link w:val="CommentTextChar"/>
    <w:uiPriority w:val="99"/>
    <w:semiHidden/>
    <w:unhideWhenUsed/>
    <w:rsid w:val="003B0BB6"/>
    <w:rPr>
      <w:sz w:val="20"/>
      <w:szCs w:val="20"/>
    </w:rPr>
  </w:style>
  <w:style w:type="character" w:customStyle="1" w:styleId="CommentTextChar">
    <w:name w:val="Comment Text Char"/>
    <w:basedOn w:val="DefaultParagraphFont"/>
    <w:link w:val="CommentText"/>
    <w:uiPriority w:val="99"/>
    <w:semiHidden/>
    <w:rsid w:val="003B0B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0BB6"/>
    <w:rPr>
      <w:b/>
      <w:bCs/>
    </w:rPr>
  </w:style>
  <w:style w:type="character" w:customStyle="1" w:styleId="CommentSubjectChar">
    <w:name w:val="Comment Subject Char"/>
    <w:basedOn w:val="CommentTextChar"/>
    <w:link w:val="CommentSubject"/>
    <w:uiPriority w:val="99"/>
    <w:semiHidden/>
    <w:rsid w:val="003B0BB6"/>
    <w:rPr>
      <w:rFonts w:ascii="Calibri" w:hAnsi="Calibri" w:cs="Times New Roman"/>
      <w:b/>
      <w:bCs/>
      <w:sz w:val="20"/>
      <w:szCs w:val="20"/>
    </w:rPr>
  </w:style>
  <w:style w:type="paragraph" w:styleId="FootnoteText">
    <w:name w:val="footnote text"/>
    <w:basedOn w:val="Normal"/>
    <w:link w:val="FootnoteTextChar"/>
    <w:uiPriority w:val="99"/>
    <w:semiHidden/>
    <w:unhideWhenUsed/>
    <w:rsid w:val="00DC3A97"/>
    <w:rPr>
      <w:sz w:val="20"/>
      <w:szCs w:val="20"/>
    </w:rPr>
  </w:style>
  <w:style w:type="character" w:customStyle="1" w:styleId="FootnoteTextChar">
    <w:name w:val="Footnote Text Char"/>
    <w:basedOn w:val="DefaultParagraphFont"/>
    <w:link w:val="FootnoteText"/>
    <w:uiPriority w:val="99"/>
    <w:semiHidden/>
    <w:rsid w:val="00DC3A97"/>
    <w:rPr>
      <w:rFonts w:ascii="Calibri" w:hAnsi="Calibri" w:cs="Times New Roman"/>
      <w:sz w:val="20"/>
      <w:szCs w:val="20"/>
    </w:rPr>
  </w:style>
  <w:style w:type="character" w:styleId="FootnoteReference">
    <w:name w:val="footnote reference"/>
    <w:basedOn w:val="DefaultParagraphFont"/>
    <w:uiPriority w:val="99"/>
    <w:semiHidden/>
    <w:unhideWhenUsed/>
    <w:rsid w:val="00DC3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4735">
      <w:bodyDiv w:val="1"/>
      <w:marLeft w:val="0"/>
      <w:marRight w:val="0"/>
      <w:marTop w:val="0"/>
      <w:marBottom w:val="0"/>
      <w:divBdr>
        <w:top w:val="none" w:sz="0" w:space="0" w:color="auto"/>
        <w:left w:val="none" w:sz="0" w:space="0" w:color="auto"/>
        <w:bottom w:val="none" w:sz="0" w:space="0" w:color="auto"/>
        <w:right w:val="none" w:sz="0" w:space="0" w:color="auto"/>
      </w:divBdr>
    </w:div>
    <w:div w:id="1387143992">
      <w:bodyDiv w:val="1"/>
      <w:marLeft w:val="0"/>
      <w:marRight w:val="0"/>
      <w:marTop w:val="0"/>
      <w:marBottom w:val="0"/>
      <w:divBdr>
        <w:top w:val="none" w:sz="0" w:space="0" w:color="auto"/>
        <w:left w:val="none" w:sz="0" w:space="0" w:color="auto"/>
        <w:bottom w:val="none" w:sz="0" w:space="0" w:color="auto"/>
        <w:right w:val="none" w:sz="0" w:space="0" w:color="auto"/>
      </w:divBdr>
    </w:div>
    <w:div w:id="1627851313">
      <w:bodyDiv w:val="1"/>
      <w:marLeft w:val="0"/>
      <w:marRight w:val="0"/>
      <w:marTop w:val="0"/>
      <w:marBottom w:val="0"/>
      <w:divBdr>
        <w:top w:val="none" w:sz="0" w:space="0" w:color="auto"/>
        <w:left w:val="none" w:sz="0" w:space="0" w:color="auto"/>
        <w:bottom w:val="none" w:sz="0" w:space="0" w:color="auto"/>
        <w:right w:val="none" w:sz="0" w:space="0" w:color="auto"/>
      </w:divBdr>
    </w:div>
    <w:div w:id="1634827883">
      <w:bodyDiv w:val="1"/>
      <w:marLeft w:val="0"/>
      <w:marRight w:val="0"/>
      <w:marTop w:val="0"/>
      <w:marBottom w:val="0"/>
      <w:divBdr>
        <w:top w:val="none" w:sz="0" w:space="0" w:color="auto"/>
        <w:left w:val="none" w:sz="0" w:space="0" w:color="auto"/>
        <w:bottom w:val="none" w:sz="0" w:space="0" w:color="auto"/>
        <w:right w:val="none" w:sz="0" w:space="0" w:color="auto"/>
      </w:divBdr>
    </w:div>
    <w:div w:id="1906529729">
      <w:bodyDiv w:val="1"/>
      <w:marLeft w:val="0"/>
      <w:marRight w:val="0"/>
      <w:marTop w:val="0"/>
      <w:marBottom w:val="0"/>
      <w:divBdr>
        <w:top w:val="none" w:sz="0" w:space="0" w:color="auto"/>
        <w:left w:val="none" w:sz="0" w:space="0" w:color="auto"/>
        <w:bottom w:val="none" w:sz="0" w:space="0" w:color="auto"/>
        <w:right w:val="none" w:sz="0" w:space="0" w:color="auto"/>
      </w:divBdr>
      <w:divsChild>
        <w:div w:id="530921118">
          <w:marLeft w:val="0"/>
          <w:marRight w:val="0"/>
          <w:marTop w:val="0"/>
          <w:marBottom w:val="0"/>
          <w:divBdr>
            <w:top w:val="none" w:sz="0" w:space="0" w:color="auto"/>
            <w:left w:val="none" w:sz="0" w:space="0" w:color="auto"/>
            <w:bottom w:val="none" w:sz="0" w:space="0" w:color="auto"/>
            <w:right w:val="none" w:sz="0" w:space="0" w:color="auto"/>
          </w:divBdr>
          <w:divsChild>
            <w:div w:id="821972578">
              <w:marLeft w:val="0"/>
              <w:marRight w:val="0"/>
              <w:marTop w:val="0"/>
              <w:marBottom w:val="0"/>
              <w:divBdr>
                <w:top w:val="none" w:sz="0" w:space="0" w:color="auto"/>
                <w:left w:val="none" w:sz="0" w:space="0" w:color="auto"/>
                <w:bottom w:val="none" w:sz="0" w:space="0" w:color="auto"/>
                <w:right w:val="none" w:sz="0" w:space="0" w:color="auto"/>
              </w:divBdr>
              <w:divsChild>
                <w:div w:id="1952517272">
                  <w:marLeft w:val="0"/>
                  <w:marRight w:val="0"/>
                  <w:marTop w:val="0"/>
                  <w:marBottom w:val="0"/>
                  <w:divBdr>
                    <w:top w:val="none" w:sz="0" w:space="0" w:color="auto"/>
                    <w:left w:val="none" w:sz="0" w:space="0" w:color="auto"/>
                    <w:bottom w:val="none" w:sz="0" w:space="0" w:color="auto"/>
                    <w:right w:val="none" w:sz="0" w:space="0" w:color="auto"/>
                  </w:divBdr>
                  <w:divsChild>
                    <w:div w:id="189418224">
                      <w:marLeft w:val="0"/>
                      <w:marRight w:val="0"/>
                      <w:marTop w:val="0"/>
                      <w:marBottom w:val="0"/>
                      <w:divBdr>
                        <w:top w:val="none" w:sz="0" w:space="0" w:color="auto"/>
                        <w:left w:val="none" w:sz="0" w:space="0" w:color="auto"/>
                        <w:bottom w:val="none" w:sz="0" w:space="0" w:color="auto"/>
                        <w:right w:val="none" w:sz="0" w:space="0" w:color="auto"/>
                      </w:divBdr>
                      <w:divsChild>
                        <w:div w:id="1549101117">
                          <w:marLeft w:val="0"/>
                          <w:marRight w:val="0"/>
                          <w:marTop w:val="0"/>
                          <w:marBottom w:val="0"/>
                          <w:divBdr>
                            <w:top w:val="none" w:sz="0" w:space="0" w:color="auto"/>
                            <w:left w:val="none" w:sz="0" w:space="0" w:color="auto"/>
                            <w:bottom w:val="none" w:sz="0" w:space="0" w:color="auto"/>
                            <w:right w:val="none" w:sz="0" w:space="0" w:color="auto"/>
                          </w:divBdr>
                          <w:divsChild>
                            <w:div w:id="1518540814">
                              <w:marLeft w:val="0"/>
                              <w:marRight w:val="0"/>
                              <w:marTop w:val="0"/>
                              <w:marBottom w:val="750"/>
                              <w:divBdr>
                                <w:top w:val="none" w:sz="0" w:space="0" w:color="auto"/>
                                <w:left w:val="none" w:sz="0" w:space="0" w:color="auto"/>
                                <w:bottom w:val="none" w:sz="0" w:space="0" w:color="auto"/>
                                <w:right w:val="none" w:sz="0" w:space="0" w:color="auto"/>
                              </w:divBdr>
                              <w:divsChild>
                                <w:div w:id="1474904558">
                                  <w:marLeft w:val="0"/>
                                  <w:marRight w:val="0"/>
                                  <w:marTop w:val="0"/>
                                  <w:marBottom w:val="0"/>
                                  <w:divBdr>
                                    <w:top w:val="none" w:sz="0" w:space="0" w:color="auto"/>
                                    <w:left w:val="none" w:sz="0" w:space="0" w:color="auto"/>
                                    <w:bottom w:val="none" w:sz="0" w:space="0" w:color="auto"/>
                                    <w:right w:val="none" w:sz="0" w:space="0" w:color="auto"/>
                                  </w:divBdr>
                                  <w:divsChild>
                                    <w:div w:id="719743186">
                                      <w:marLeft w:val="0"/>
                                      <w:marRight w:val="0"/>
                                      <w:marTop w:val="0"/>
                                      <w:marBottom w:val="0"/>
                                      <w:divBdr>
                                        <w:top w:val="none" w:sz="0" w:space="0" w:color="auto"/>
                                        <w:left w:val="none" w:sz="0" w:space="0" w:color="auto"/>
                                        <w:bottom w:val="none" w:sz="0" w:space="0" w:color="auto"/>
                                        <w:right w:val="none" w:sz="0" w:space="0" w:color="auto"/>
                                      </w:divBdr>
                                      <w:divsChild>
                                        <w:div w:id="1331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11BD-D5D8-4248-96E4-23A972A7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Investec Bank PLC</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McGreal</dc:creator>
  <cp:keywords/>
  <dc:description/>
  <cp:lastModifiedBy>Jonathan Simmons</cp:lastModifiedBy>
  <cp:revision>3</cp:revision>
  <cp:lastPrinted>2018-05-17T15:24:00Z</cp:lastPrinted>
  <dcterms:created xsi:type="dcterms:W3CDTF">2018-05-17T19:54:00Z</dcterms:created>
  <dcterms:modified xsi:type="dcterms:W3CDTF">2018-05-17T20:02:00Z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873242530</vt:i4>
  </property>
  <property fmtid="{D5CDD505-2E9C-101B-9397-08002B2CF9AE}" pid="4" name="_EmailSubject">
    <vt:lpwstr>Return of Capital – Conversion and Redemption Press Release</vt:lpwstr>
  </property>
  <property fmtid="{D5CDD505-2E9C-101B-9397-08002B2CF9AE}" pid="5" name="_AuthorEmail">
    <vt:lpwstr>Dorothy.Godden@investec.ie</vt:lpwstr>
  </property>
  <property fmtid="{D5CDD505-2E9C-101B-9397-08002B2CF9AE}" pid="6" name="_AuthorEmailDisplayName">
    <vt:lpwstr>Dorothy Godden</vt:lpwstr>
  </property>
  <property fmtid="{D5CDD505-2E9C-101B-9397-08002B2CF9AE}" pid="7" name="_PreviousAdHocReviewCycleID">
    <vt:i4>887807103</vt:i4>
  </property>
</Properties>
</file>